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"Data ESG dari Pasokan CNG: Bukti Emisi untuk Laporan Anda"</w:t>
      </w:r>
      <w:r>
        <w:br/>
      </w:r>
      <w:r>
        <w:rPr>
          <w:rStyle w:val="FunctionTok"/>
        </w:rPr>
        <w:t xml:space="preserve">meta_title</w:t>
      </w:r>
      <w:r>
        <w:rPr>
          <w:rStyle w:val="KeywordTok"/>
        </w:rPr>
        <w:t xml:space="preserve">:</w:t>
      </w:r>
      <w:r>
        <w:rPr>
          <w:rStyle w:val="AttributeTok"/>
        </w:rPr>
        <w:t xml:space="preserve"> </w:t>
      </w:r>
      <w:r>
        <w:rPr>
          <w:rStyle w:val="StringTok"/>
        </w:rPr>
        <w:t xml:space="preserve">"Perusahaan CNG Indonesia: Data ESG untuk Laporan"</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memilih perusahaan CNG Indonesia dari sisi data ESG: kerangka Scope 1/2/3, kewajiban POJK 51, dan data pemakaian tertelusur untuk laporan Anda."</w:t>
      </w:r>
      <w:r>
        <w:br/>
      </w:r>
      <w:r>
        <w:rPr>
          <w:rStyle w:val="FunctionTok"/>
        </w:rPr>
        <w:t xml:space="preserve">slug</w:t>
      </w:r>
      <w:r>
        <w:rPr>
          <w:rStyle w:val="KeywordTok"/>
        </w:rPr>
        <w:t xml:space="preserve">:</w:t>
      </w:r>
      <w:r>
        <w:rPr>
          <w:rStyle w:val="AttributeTok"/>
        </w:rPr>
        <w:t xml:space="preserve"> </w:t>
      </w:r>
      <w:r>
        <w:rPr>
          <w:rStyle w:val="StringTok"/>
        </w:rPr>
        <w:t xml:space="preserve">"perusahaan-cng-indonesia-data-esg-laporan"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"laporan keberlanjutan"</w:t>
      </w:r>
      <w:r>
        <w:rPr>
          <w:rStyle w:val="KeywordTok"/>
        </w:rPr>
        <w:t xml:space="preserve">,</w:t>
      </w:r>
      <w:r>
        <w:rPr>
          <w:rStyle w:val="AttributeTok"/>
        </w:rPr>
        <w:t xml:space="preserve"> </w:t>
      </w:r>
      <w:r>
        <w:rPr>
          <w:rStyle w:val="StringTok"/>
        </w:rPr>
        <w:t xml:space="preserve">"POJK 51"</w:t>
      </w:r>
      <w:r>
        <w:rPr>
          <w:rStyle w:val="KeywordTok"/>
        </w:rPr>
        <w:t xml:space="preserve">,</w:t>
      </w:r>
      <w:r>
        <w:rPr>
          <w:rStyle w:val="AttributeTok"/>
        </w:rPr>
        <w:t xml:space="preserve"> </w:t>
      </w:r>
      <w:r>
        <w:rPr>
          <w:rStyle w:val="StringTok"/>
        </w:rPr>
        <w:t xml:space="preserve">"emisi Scope 1"</w:t>
      </w:r>
      <w:r>
        <w:rPr>
          <w:rStyle w:val="KeywordTok"/>
        </w:rPr>
        <w:t xml:space="preserve">,</w:t>
      </w:r>
      <w:r>
        <w:rPr>
          <w:rStyle w:val="AttributeTok"/>
        </w:rPr>
        <w:t xml:space="preserve"> </w:t>
      </w:r>
      <w:r>
        <w:rPr>
          <w:rStyle w:val="StringTok"/>
        </w:rPr>
        <w:t xml:space="preserve">"faktor emisi bahan bakar"</w:t>
      </w:r>
      <w:r>
        <w:rPr>
          <w:rStyle w:val="KeywordTok"/>
        </w:rPr>
        <w:t xml:space="preserve">,</w:t>
      </w:r>
      <w:r>
        <w:rPr>
          <w:rStyle w:val="AttributeTok"/>
        </w:rPr>
        <w:t xml:space="preserve"> </w:t>
      </w:r>
      <w:r>
        <w:rPr>
          <w:rStyle w:val="StringTok"/>
        </w:rPr>
        <w:t xml:space="preserve">"fuel switching"</w:t>
      </w:r>
      <w:r>
        <w:rPr>
          <w:rStyle w:val="KeywordTok"/>
        </w:rPr>
        <w:t xml:space="preserve">,</w:t>
      </w:r>
      <w:r>
        <w:rPr>
          <w:rStyle w:val="AttributeTok"/>
        </w:rPr>
        <w:t xml:space="preserve"> </w:t>
      </w:r>
      <w:r>
        <w:rPr>
          <w:rStyle w:val="StringTok"/>
        </w:rPr>
        <w:t xml:space="preserve">"GRI Standards"</w:t>
      </w:r>
      <w:r>
        <w:rPr>
          <w:rStyle w:val="KeywordTok"/>
        </w:rPr>
        <w:t xml:space="preserve">,</w:t>
      </w:r>
      <w:r>
        <w:rPr>
          <w:rStyle w:val="AttributeTok"/>
        </w:rPr>
        <w:t xml:space="preserve"> </w:t>
      </w:r>
      <w:r>
        <w:rPr>
          <w:rStyle w:val="StringTok"/>
        </w:rPr>
        <w:t xml:space="preserve">"jejak karbon industri"</w:t>
      </w:r>
      <w:r>
        <w:rPr>
          <w:rStyle w:val="KeywordTok"/>
        </w:rPr>
        <w:t xml:space="preserve">,</w:t>
      </w:r>
      <w:r>
        <w:rPr>
          <w:rStyle w:val="AttributeTok"/>
        </w:rPr>
        <w:t xml:space="preserve"> </w:t>
      </w:r>
      <w:r>
        <w:rPr>
          <w:rStyle w:val="StringTok"/>
        </w:rPr>
        <w:t xml:space="preserve">"data pemakaian gas (telemetri)"</w:t>
      </w:r>
      <w:r>
        <w:rPr>
          <w:rStyle w:val="KeywordTok"/>
        </w:rPr>
        <w:t xml:space="preserve">,</w:t>
      </w:r>
      <w:r>
        <w:rPr>
          <w:rStyle w:val="AttributeTok"/>
        </w:rPr>
        <w:t xml:space="preserve"> </w:t>
      </w:r>
      <w:r>
        <w:rPr>
          <w:rStyle w:val="StringTok"/>
        </w:rPr>
        <w:t xml:space="preserve">"dekarbonisasi"</w:t>
      </w:r>
      <w:r>
        <w:rPr>
          <w:rStyle w:val="KeywordTok"/>
        </w:rPr>
        <w:t xml:space="preserve">,</w:t>
      </w:r>
      <w:r>
        <w:rPr>
          <w:rStyle w:val="AttributeTok"/>
        </w:rPr>
        <w:t xml:space="preserve"> </w:t>
      </w:r>
      <w:r>
        <w:rPr>
          <w:rStyle w:val="StringTok"/>
        </w:rPr>
        <w:t xml:space="preserve">"ESG procurement"</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dekarbonisasi industri"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 dalam bauran energi lebih bersih"</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"https://ojk.go.id/id/kanal/perbankan/regulasi/peraturan-ojk/Pages/POJK-Penerapan-Keuangan-Berkelanjutan-bagi-Lembaga-Jasa-Keuangan,-Emiten,-dan-Perusahaan-Publik.aspx"</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"Cakupan entitas wajib &amp; tenggat 30 April Laporan Keberlanjutan (POJK 51/POJK.03/2017)"</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"https://ghgprotocol.org/corporate-standard"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Scope 1/2/3 dan metodologi akuntansi GRK"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"https://www.iea.org/reports/global-methane-tracker-2025/understanding-methane-emissions"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"Risiko emisi metana rantai pasok gas alam (dasar sudut anti-greenwashing)"</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"perusahaan-cng-indonesia-05"</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1550</w:t>
      </w:r>
      <w:r>
        <w:br/>
      </w:r>
      <w:r>
        <w:rPr>
          <w:rStyle w:val="FunctionTok"/>
        </w:rPr>
        <w:t xml:space="preserve">date_modified</w:t>
      </w:r>
      <w:r>
        <w:rPr>
          <w:rStyle w:val="KeywordTok"/>
        </w:rPr>
        <w:t xml:space="preserve">:</w:t>
      </w:r>
      <w:r>
        <w:rPr>
          <w:rStyle w:val="AttributeTok"/>
        </w:rPr>
        <w:t xml:space="preserve"> </w:t>
      </w:r>
      <w:r>
        <w:rPr>
          <w:rStyle w:val="StringTok"/>
        </w:rPr>
        <w:t xml:space="preserve">"2026-08-11"</w:t>
      </w:r>
    </w:p>
    <w:p>
      <w:r>
        <w:pict>
          <v:rect style="width:0;height:1.5pt" o:hralign="center" o:hrstd="t" o:hr="t"/>
        </w:pict>
      </w:r>
    </w:p>
    <w:bookmarkEnd w:id="16"/>
    <w:bookmarkStart w:id="35" w:name="X5d4720293e534f98211be2b6a4f2bab0226f99e"/>
    <w:p>
      <w:pPr>
        <w:pStyle w:val="Heading1"/>
      </w:pPr>
      <w:r>
        <w:t xml:space="preserve">Data ESG dari Pasokan CNG: Bukti Emisi untuk Laporan Anda</w:t>
      </w:r>
    </w:p>
    <w:p>
      <w:pPr>
        <w:pStyle w:val="FirstParagraph"/>
      </w:pPr>
      <w:r>
        <w:t xml:space="preserve">Tim keberlanjutan Anda sudah beralih dari solar ke gas bumi, dan di atas kertas emisinya turun. Lalu auditor bertanya: berapa persisnya, dan dari mana angkanya? Di titik itu banyak perusahaan baru sadar bahwa mereka memilih perusahaan CNG hanya dari harga per unit energi dan keandalan pasok. Padahal,</w:t>
      </w:r>
      <w:r>
        <w:t xml:space="preserve"> </w:t>
      </w:r>
      <w:hyperlink r:id="rId17">
        <w:r>
          <w:rPr>
            <w:rStyle w:val="Hyperlink"/>
          </w:rPr>
          <w:t xml:space="preserve">penyedia CNG di Indonesia</w:t>
        </w:r>
      </w:hyperlink>
      <w:r>
        <w:t xml:space="preserve"> </w:t>
      </w:r>
      <w:r>
        <w:t xml:space="preserve">yang tepat juga menentukan apakah penurunan emisi itu bisa Anda buktikan. Artikel ini membahas satu kriteria pengadaan yang jarang masuk daftar: data emisi yang bisa dilaporkan dan diaudit. Anda akan tahu data apa yang harus diminta, di mana posisinya dalam kerangka Scope 1, dan mengapa</w:t>
      </w:r>
      <w:r>
        <w:t xml:space="preserve"> </w:t>
      </w:r>
      <w:r>
        <w:t xml:space="preserve">“lebih bersih”</w:t>
      </w:r>
      <w:r>
        <w:t xml:space="preserve"> </w:t>
      </w:r>
      <w:r>
        <w:t xml:space="preserve">saja tidak cukup untuk mengisi satu baris laporan keberlanjutan.</w:t>
      </w:r>
    </w:p>
    <w:p>
      <w:pPr>
        <w:pStyle w:val="BlockText"/>
      </w:pPr>
      <w:r>
        <w:rPr>
          <w:b/>
          <w:bCs/>
        </w:rPr>
        <w:t xml:space="preserve">Ringkas:</w:t>
      </w:r>
      <w:r>
        <w:t xml:space="preserve"> </w:t>
      </w:r>
      <w:r>
        <w:t xml:space="preserve">Emisi Scope 1 adalah emisi gas rumah kaca langsung dari sumber yang dimiliki atau dikendalikan perusahaan, misalnya pembakaran gas bumi (CNG) di boiler, genset, atau kendaraan operasional sendiri. Menurut GHG Protocol, Scope 1 dihitung dari data aktivitas (volume bahan bakar) dikalikan faktor emisi resmi, bukan estimasi kualitatif.</w:t>
      </w:r>
    </w:p>
    <w:p>
      <w:pPr>
        <w:pStyle w:val="FirstParagraph"/>
      </w:pPr>
      <w:r>
        <w:rPr>
          <w:i/>
          <w:iCs/>
        </w:rPr>
        <w:t xml:space="preserve">[Image 01: Diagram alur horizontal tiga kotak —</w:t>
      </w:r>
      <w:r>
        <w:rPr>
          <w:i/>
          <w:iCs/>
        </w:rPr>
        <w:t xml:space="preserve"> </w:t>
      </w:r>
      <w:r>
        <w:rPr>
          <w:i/>
          <w:iCs/>
        </w:rPr>
        <w:t xml:space="preserve">“Data Aktivitas (volume pemakaian, idealnya dari telemetri)”</w:t>
      </w:r>
      <w:r>
        <w:rPr>
          <w:i/>
          <w:iCs/>
        </w:rPr>
        <w:t xml:space="preserve"> </w:t>
      </w:r>
      <w:r>
        <w:rPr>
          <w:i/>
          <w:iCs/>
        </w:rPr>
        <w:t xml:space="preserve">×</w:t>
      </w:r>
      <w:r>
        <w:rPr>
          <w:i/>
          <w:iCs/>
        </w:rPr>
        <w:t xml:space="preserve"> </w:t>
      </w:r>
      <w:r>
        <w:rPr>
          <w:i/>
          <w:iCs/>
        </w:rPr>
        <w:t xml:space="preserve">“Faktor Emisi (resmi, KLHK/IPCC)”</w:t>
      </w:r>
      <w:r>
        <w:rPr>
          <w:i/>
          <w:iCs/>
        </w:rPr>
        <w:t xml:space="preserve"> </w:t>
      </w:r>
      <w:r>
        <w:rPr>
          <w:i/>
          <w:iCs/>
        </w:rPr>
        <w:t xml:space="preserve">=</w:t>
      </w:r>
      <w:r>
        <w:rPr>
          <w:i/>
          <w:iCs/>
        </w:rPr>
        <w:t xml:space="preserve"> </w:t>
      </w:r>
      <w:r>
        <w:rPr>
          <w:i/>
          <w:iCs/>
        </w:rPr>
        <w:t xml:space="preserve">“Emisi Scope 1 (ton CO2e)”</w:t>
      </w:r>
      <w:r>
        <w:rPr>
          <w:i/>
          <w:iCs/>
        </w:rPr>
        <w:t xml:space="preserve">. Gaya infografik bersih, palet biru-hijau korporat, seluruh label Bahasa Indonesia, dengan catatan kecil</w:t>
      </w:r>
      <w:r>
        <w:rPr>
          <w:i/>
          <w:iCs/>
        </w:rPr>
        <w:t xml:space="preserve"> </w:t>
      </w:r>
      <w:r>
        <w:rPr>
          <w:i/>
          <w:iCs/>
        </w:rPr>
        <w:t xml:space="preserve">“penyedia CNG memasok sisi kiri, bukan angka faktor emisi”</w:t>
      </w:r>
      <w:r>
        <w:rPr>
          <w:i/>
          <w:iCs/>
        </w:rPr>
        <w:t xml:space="preserve">. · alt:</w:t>
      </w:r>
      <w:r>
        <w:rPr>
          <w:i/>
          <w:iCs/>
        </w:rPr>
        <w:t xml:space="preserve"> </w:t>
      </w:r>
      <w:r>
        <w:rPr>
          <w:i/>
          <w:iCs/>
        </w:rPr>
        <w:t xml:space="preserve">“Diagram rumus emisi Scope 1 dari data aktivitas dikali faktor emisi”</w:t>
      </w:r>
      <w:r>
        <w:rPr>
          <w:i/>
          <w:iCs/>
        </w:rPr>
        <w:t xml:space="preserve">]</w:t>
      </w:r>
    </w:p>
    <w:bookmarkStart w:id="18" w:name="Xeca4b01936603de6a4eff19f34c2223384584ec"/>
    <w:p>
      <w:pPr>
        <w:pStyle w:val="Heading2"/>
      </w:pPr>
      <w:r>
        <w:t xml:space="preserve">Kenapa Pilihan Penyedia CNG Menentukan Isi Laporan ESG Anda?</w:t>
      </w:r>
    </w:p>
    <w:p>
      <w:pPr>
        <w:pStyle w:val="FirstParagraph"/>
      </w:pPr>
      <w:r>
        <w:t xml:space="preserve">Karena penurunan emisi dari pergantian bahan bakar hanya bisa dilaporkan bila didukung data pemakaian yang tertelusur dan faktor emisi resmi. Penyedia CNG memasok sisi data aktivitas: volume gas terpakai per periode. Tanpa data itu, klaim</w:t>
      </w:r>
      <w:r>
        <w:t xml:space="preserve"> </w:t>
      </w:r>
      <w:r>
        <w:t xml:space="preserve">“sudah beralih ke gas”</w:t>
      </w:r>
      <w:r>
        <w:t xml:space="preserve"> </w:t>
      </w:r>
      <w:r>
        <w:t xml:space="preserve">hanya narasi, bukan angka yang bisa diaudit.</w:t>
      </w:r>
    </w:p>
    <w:p>
      <w:pPr>
        <w:pStyle w:val="BodyText"/>
      </w:pPr>
      <w:r>
        <w:t xml:space="preserve">Dalam pengadaan, penyedia gas biasa dinilai dari harga, keandalan pasok, dan sertifikasi keselamatan. Satu kriteria sering luput: dokumen ESG apa yang ikut Anda terima. Padahal pergantian solar atau LPG ke gas bumi masuk langsung ke emisi Scope 1 perusahaan Anda, kategori yang paling sering diminta dalam laporan keberlanjutan.</w:t>
      </w:r>
    </w:p>
    <w:p>
      <w:pPr>
        <w:pStyle w:val="BodyText"/>
      </w:pPr>
      <w:r>
        <w:t xml:space="preserve">Konsekuensinya sederhana. Jika penyedia tidak bisa menyerahkan data pemakaian yang rapi, tim keberlanjutan terpaksa menaksir, dan taksiran adalah hal pertama yang dicoret auditor.</w:t>
      </w:r>
    </w:p>
    <w:bookmarkEnd w:id="18"/>
    <w:bookmarkStart w:id="19" w:name="X4b71f45b65010713fb2643f89c5f8e72e592fd7"/>
    <w:p>
      <w:pPr>
        <w:pStyle w:val="Heading2"/>
      </w:pPr>
      <w:r>
        <w:t xml:space="preserve">Scope 1, 2, dan 3: Di Mana Posisi Bahan Bakar Anda?</w:t>
      </w:r>
    </w:p>
    <w:p>
      <w:pPr>
        <w:pStyle w:val="FirstParagraph"/>
      </w:pPr>
      <w:r>
        <w:t xml:space="preserve">Kerangka GHG Protocol membagi emisi menjadi tiga cakupan. Scope 1 adalah emisi langsung dari aset yang Anda miliki atau kendalikan; Scope 2 dari listrik atau energi yang dibeli; Scope 3 dari seluruh rantai nilai. Pembakaran bahan bakar di fasilitas Anda, termasuk CNG, berada di Scope 1.</w:t>
      </w:r>
    </w:p>
    <w:p>
      <w:pPr>
        <w:pStyle w:val="BodyText"/>
      </w:pPr>
      <w:r>
        <w:t xml:space="preserve">Standar pelaporan GRI 305 mewajibkan pengungkapan ketiganya (305-1, 305-2, 305-3) dan merujuk langsung ke GHG Protocol. Jadi ketika Anda membandingkan penyedia CNG, yang paling relevan bagi laporan adalah kualitas data Scope 1 yang bisa mereka pasok.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Scope</w:t>
            </w:r>
          </w:p>
        </w:tc>
        <w:tc>
          <w:tcPr/>
          <w:p>
            <w:pPr>
              <w:pStyle w:val="Compact"/>
            </w:pPr>
            <w:r>
              <w:t xml:space="preserve">Definisi ringkas</w:t>
            </w:r>
          </w:p>
        </w:tc>
        <w:tc>
          <w:tcPr/>
          <w:p>
            <w:pPr>
              <w:pStyle w:val="Compact"/>
            </w:pPr>
            <w:r>
              <w:t xml:space="preserve">Contoh sumber emisi</w:t>
            </w:r>
          </w:p>
        </w:tc>
        <w:tc>
          <w:tcPr/>
          <w:p>
            <w:pPr>
              <w:pStyle w:val="Compact"/>
            </w:pPr>
            <w:r>
              <w:t xml:space="preserve">Sumber data untuk laporan</w:t>
            </w:r>
          </w:p>
        </w:tc>
      </w:tr>
      <w:tr>
        <w:tc>
          <w:tcPr/>
          <w:p>
            <w:pPr>
              <w:pStyle w:val="Compact"/>
            </w:pPr>
            <w:r>
              <w:t xml:space="preserve">Scope 1</w:t>
            </w:r>
          </w:p>
        </w:tc>
        <w:tc>
          <w:tcPr/>
          <w:p>
            <w:pPr>
              <w:pStyle w:val="Compact"/>
            </w:pPr>
            <w:r>
              <w:t xml:space="preserve">Emisi langsung dari aset milik/kendali perusahaan</w:t>
            </w:r>
          </w:p>
        </w:tc>
        <w:tc>
          <w:tcPr/>
          <w:p>
            <w:pPr>
              <w:pStyle w:val="Compact"/>
            </w:pPr>
            <w:r>
              <w:t xml:space="preserve">Pembakaran CNG di boiler, genset, kendaraan sendiri</w:t>
            </w:r>
          </w:p>
        </w:tc>
        <w:tc>
          <w:tcPr/>
          <w:p>
            <w:pPr>
              <w:pStyle w:val="Compact"/>
            </w:pPr>
            <w:r>
              <w:t xml:space="preserve">Telemetri/meteran pemakaian + faktor emisi resmi</w:t>
            </w:r>
          </w:p>
        </w:tc>
      </w:tr>
      <w:tr>
        <w:tc>
          <w:tcPr/>
          <w:p>
            <w:pPr>
              <w:pStyle w:val="Compact"/>
            </w:pPr>
            <w:r>
              <w:t xml:space="preserve">Scope 2</w:t>
            </w:r>
          </w:p>
        </w:tc>
        <w:tc>
          <w:tcPr/>
          <w:p>
            <w:pPr>
              <w:pStyle w:val="Compact"/>
            </w:pPr>
            <w:r>
              <w:t xml:space="preserve">Emisi tak langsung dari energi yang dibeli</w:t>
            </w:r>
          </w:p>
        </w:tc>
        <w:tc>
          <w:tcPr/>
          <w:p>
            <w:pPr>
              <w:pStyle w:val="Compact"/>
            </w:pPr>
            <w:r>
              <w:t xml:space="preserve">Konsumsi listrik PLN untuk operasional</w:t>
            </w:r>
          </w:p>
        </w:tc>
        <w:tc>
          <w:tcPr/>
          <w:p>
            <w:pPr>
              <w:pStyle w:val="Compact"/>
            </w:pPr>
            <w:r>
              <w:t xml:space="preserve">Tagihan listrik + faktor emisi grid</w:t>
            </w:r>
          </w:p>
        </w:tc>
      </w:tr>
      <w:tr>
        <w:tc>
          <w:tcPr/>
          <w:p>
            <w:pPr>
              <w:pStyle w:val="Compact"/>
            </w:pPr>
            <w:r>
              <w:t xml:space="preserve">Scope 3</w:t>
            </w:r>
          </w:p>
        </w:tc>
        <w:tc>
          <w:tcPr/>
          <w:p>
            <w:pPr>
              <w:pStyle w:val="Compact"/>
            </w:pPr>
            <w:r>
              <w:t xml:space="preserve">Emisi tak langsung lain di rantai nilai</w:t>
            </w:r>
          </w:p>
        </w:tc>
        <w:tc>
          <w:tcPr/>
          <w:p>
            <w:pPr>
              <w:pStyle w:val="Compact"/>
            </w:pPr>
            <w:r>
              <w:t xml:space="preserve">Logistik pihak ketiga, perjalanan dinas</w:t>
            </w:r>
          </w:p>
        </w:tc>
        <w:tc>
          <w:tcPr/>
          <w:p>
            <w:pPr>
              <w:pStyle w:val="Compact"/>
            </w:pPr>
            <w:r>
              <w:t xml:space="preserve">Data pemasok/mitra, estimasi kategori Scope 3</w:t>
            </w:r>
          </w:p>
        </w:tc>
      </w:tr>
    </w:tbl>
    <w:p>
      <w:pPr>
        <w:pStyle w:val="BodyText"/>
      </w:pPr>
      <w:r>
        <w:t xml:space="preserve">Satu hal yang sering disalahpahami: batas Scope ditentukan kepemilikan, bukan jenis bahan bakar. CNG yang dibakar di kendaraan sewa yang dioperasikan pihak ketiga bisa bergeser ke Scope 3, bukan Scope 1. Perbedaan kecil ini menentukan di baris mana angkanya masuk.</w:t>
      </w:r>
    </w:p>
    <w:p>
      <w:pPr>
        <w:pStyle w:val="BodyText"/>
      </w:pPr>
      <w:r>
        <w:rPr>
          <w:i/>
          <w:iCs/>
        </w:rPr>
        <w:t xml:space="preserve">[Image 02: Tabel visual tiga kolom berwarna berbeda (Scope 1 biru, Scope 2 kuning, Scope 3 hijau), tiap kolom dengan ikon (boiler/kendaraan; kilat/listrik; truk/rantai) plus satu baris contoh sumber emisi dan satu baris sumber data. Teks Bahasa Indonesia, dirancang mudah di-screenshot. · alt:</w:t>
      </w:r>
      <w:r>
        <w:rPr>
          <w:i/>
          <w:iCs/>
        </w:rPr>
        <w:t xml:space="preserve"> </w:t>
      </w:r>
      <w:r>
        <w:rPr>
          <w:i/>
          <w:iCs/>
        </w:rPr>
        <w:t xml:space="preserve">“Tabel visual perbandingan emisi Scope 1, 2, dan 3 beserta sumber datanya”</w:t>
      </w:r>
      <w:r>
        <w:rPr>
          <w:i/>
          <w:iCs/>
        </w:rPr>
        <w:t xml:space="preserve">]</w:t>
      </w:r>
    </w:p>
    <w:bookmarkEnd w:id="19"/>
    <w:bookmarkStart w:id="21" w:name="X4866729254ebdf6d55c3e7d0f0109c72749c7e0"/>
    <w:p>
      <w:pPr>
        <w:pStyle w:val="Heading2"/>
      </w:pPr>
      <w:r>
        <w:t xml:space="preserve">Data yang Harus Anda Minta dari Penyedia CNG</w:t>
      </w:r>
    </w:p>
    <w:p>
      <w:pPr>
        <w:pStyle w:val="FirstParagraph"/>
      </w:pPr>
      <w:r>
        <w:t xml:space="preserve">Minta empat hal: rekap volume pemakaian per periode (idealnya dari telemetri, bukan taksiran), spesifikasi nilai kalor atau komposisi gas, laporan berkala terjadwal, dan dokumentasi pendukung untuk audit. Keempatnya mengubah pasokan gas menjadi baris data yang bisa dihitung dan ditelusuri kembali.</w:t>
      </w:r>
    </w:p>
    <w:p>
      <w:pPr>
        <w:pStyle w:val="Compact"/>
        <w:numPr>
          <w:ilvl w:val="0"/>
          <w:numId w:val="1001"/>
        </w:numPr>
      </w:pPr>
      <w:r>
        <w:rPr>
          <w:b/>
          <w:bCs/>
        </w:rPr>
        <w:t xml:space="preserve">Rekap volume pemakaian per periode.</w:t>
      </w:r>
      <w:r>
        <w:t xml:space="preserve"> </w:t>
      </w:r>
      <w:r>
        <w:t xml:space="preserve">Ini data aktivitas inti untuk perhitungan Scope 1. Idealnya berasal dari telemetri atau meteran otomatis, bukan taksiran manual.</w:t>
      </w:r>
    </w:p>
    <w:p>
      <w:pPr>
        <w:pStyle w:val="Compact"/>
        <w:numPr>
          <w:ilvl w:val="0"/>
          <w:numId w:val="1001"/>
        </w:numPr>
      </w:pPr>
      <w:r>
        <w:rPr>
          <w:b/>
          <w:bCs/>
        </w:rPr>
        <w:t xml:space="preserve">Spesifikasi nilai kalor / komposisi gas.</w:t>
      </w:r>
      <w:r>
        <w:t xml:space="preserve"> </w:t>
      </w:r>
      <w:r>
        <w:t xml:space="preserve">Memastikan faktor emisi yang dipakai tepat untuk jenis bahan bakar; minta sertifikat teknis dari penyedia atau Mother Station.</w:t>
      </w:r>
    </w:p>
    <w:p>
      <w:pPr>
        <w:pStyle w:val="Compact"/>
        <w:numPr>
          <w:ilvl w:val="0"/>
          <w:numId w:val="1001"/>
        </w:numPr>
      </w:pPr>
      <w:r>
        <w:rPr>
          <w:b/>
          <w:bCs/>
        </w:rPr>
        <w:t xml:space="preserve">Laporan atau rekap berkala terjadwal.</w:t>
      </w:r>
      <w:r>
        <w:t xml:space="preserve"> </w:t>
      </w:r>
      <w:r>
        <w:t xml:space="preserve">Menjaga konsistensi periode pelaporan, salah satu prinsip inti akuntansi GRK, dengan terbit rutin bulanan atau kuartalan.</w:t>
      </w:r>
    </w:p>
    <w:p>
      <w:pPr>
        <w:pStyle w:val="Compact"/>
        <w:numPr>
          <w:ilvl w:val="0"/>
          <w:numId w:val="1001"/>
        </w:numPr>
      </w:pPr>
      <w:r>
        <w:rPr>
          <w:b/>
          <w:bCs/>
        </w:rPr>
        <w:t xml:space="preserve">Dokumentasi pendukung untuk audit.</w:t>
      </w:r>
      <w:r>
        <w:t xml:space="preserve"> </w:t>
      </w:r>
      <w:r>
        <w:t xml:space="preserve">Arsip data historis dan berita acara pasokan sebagai bukti telusur saat diverifikasi auditor internal maupun eksternal.</w:t>
      </w:r>
    </w:p>
    <w:p>
      <w:pPr>
        <w:pStyle w:val="FirstParagraph"/>
      </w:pPr>
      <w:r>
        <w:t xml:space="preserve">Di sinilah kualitas pencatatan penyedia terasa. Data pemakaian berbasis telemetri, seperti yang menyertai layanan CNG industri</w:t>
      </w:r>
      <w:r>
        <w:t xml:space="preserve"> </w:t>
      </w:r>
      <w:hyperlink r:id="rId20">
        <w:r>
          <w:rPr>
            <w:rStyle w:val="Hyperlink"/>
          </w:rPr>
          <w:t xml:space="preserve">Gaslink untuk dekarbonisasi industri</w:t>
        </w:r>
      </w:hyperlink>
      <w:r>
        <w:t xml:space="preserve">, umumnya lebih mudah diverifikasi dibanding catatan manual karena mengurangi ruang subjektivitas dalam pelaporan.</w:t>
      </w:r>
    </w:p>
    <w:p>
      <w:pPr>
        <w:pStyle w:val="BodyText"/>
      </w:pPr>
      <w:r>
        <w:rPr>
          <w:i/>
          <w:iCs/>
        </w:rPr>
        <w:t xml:space="preserve">[Image 03: Infografik vertikal gaya</w:t>
      </w:r>
      <w:r>
        <w:rPr>
          <w:i/>
          <w:iCs/>
        </w:rPr>
        <w:t xml:space="preserve"> </w:t>
      </w:r>
      <w:r>
        <w:rPr>
          <w:i/>
          <w:iCs/>
        </w:rPr>
        <w:t xml:space="preserve">“kartu centang”</w:t>
      </w:r>
      <w:r>
        <w:rPr>
          <w:i/>
          <w:iCs/>
        </w:rPr>
        <w:t xml:space="preserve"> </w:t>
      </w:r>
      <w:r>
        <w:rPr>
          <w:i/>
          <w:iCs/>
        </w:rPr>
        <w:t xml:space="preserve">berisi empat item (rekap volume, spesifikasi nilai kalor, laporan berkala, dokumentasi audit), tiap kartu dengan ikon centang hijau dan satu baris keterangan Bahasa Indonesia. Dirancang agar mudah di-screenshot dan dibagikan ke tim procurement/HSE. · alt:</w:t>
      </w:r>
      <w:r>
        <w:rPr>
          <w:i/>
          <w:iCs/>
        </w:rPr>
        <w:t xml:space="preserve"> </w:t>
      </w:r>
      <w:r>
        <w:rPr>
          <w:i/>
          <w:iCs/>
        </w:rPr>
        <w:t xml:space="preserve">“Checklist empat dokumen data ESG yang diminta dari penyedia CNG”</w:t>
      </w:r>
      <w:r>
        <w:rPr>
          <w:i/>
          <w:iCs/>
        </w:rPr>
        <w:t xml:space="preserve">]</w:t>
      </w:r>
    </w:p>
    <w:bookmarkEnd w:id="21"/>
    <w:bookmarkStart w:id="22" w:name="X7db4404892ae0c0358d72b865588b22369eee40"/>
    <w:p>
      <w:pPr>
        <w:pStyle w:val="Heading2"/>
      </w:pPr>
      <w:r>
        <w:t xml:space="preserve">Bagaimana Penurunan Emisi dari Ganti Bahan Bakar Dihitung?</w:t>
      </w:r>
    </w:p>
    <w:p>
      <w:pPr>
        <w:pStyle w:val="FirstParagraph"/>
      </w:pPr>
      <w:r>
        <w:t xml:space="preserve">Prinsipnya membandingkan, bukan mengklaim. Hitung emisi bahan bakar lama (solar atau LPG) dan bahan bakar baru (gas bumi) pada beban energi setara, memakai rumus emisi = data aktivitas × faktor emisi. Selisihnya adalah penurunan yang bisa Anda laporkan, sepanjang faktor emisinya bersumber resmi.</w:t>
      </w:r>
    </w:p>
    <w:p>
      <w:pPr>
        <w:pStyle w:val="BodyText"/>
      </w:pPr>
      <w:r>
        <w:t xml:space="preserve">Rumus itu baku dan diakui IPCC maupun GHG Protocol. Kuncinya ada pada dua angka: volume yang benar-benar terpakai, dan faktor emisi yang tepat untuk tiap bahan bakar. Untuk konteks Indonesia, faktor emisi resmi tersedia di basis data KLHK, yakni SIGN SMART (Sistem Inventarisasi Gas Rumah Kaca Nasional), yang mencakup lima sektor termasuk energi. Ambil angka dari sana, bukan dari sumber asing yang disalin mentah.</w:t>
      </w:r>
    </w:p>
    <w:p>
      <w:pPr>
        <w:pStyle w:val="BodyText"/>
      </w:pPr>
      <w:r>
        <w:t xml:space="preserve">Sebagai gambaran arah saja, data US Energy Information Administration (EIA) menunjukkan intensitas karbon gas bumi sekitar 53 kg CO2/MMBtu dibanding sekitar 100 kg CO2/MMBtu untuk batu bara. Angka ini konteks AS/global, bukan faktor emisi resmi Indonesia, dan tidak bisa langsung disalin ke laporan Anda. Karena itu, hindari mengklaim persentase penurunan tertentu sebelum Anda menghitung dengan data dan faktor emisi sendiri.</w:t>
      </w:r>
    </w:p>
    <w:p>
      <w:pPr>
        <w:pStyle w:val="BodyText"/>
      </w:pPr>
      <w:r>
        <w:t xml:space="preserve">Saat diverifikasi, auditor umumnya mencari tiga hal:</w:t>
      </w:r>
    </w:p>
    <w:p>
      <w:pPr>
        <w:pStyle w:val="Compact"/>
        <w:numPr>
          <w:ilvl w:val="0"/>
          <w:numId w:val="1002"/>
        </w:numPr>
      </w:pPr>
      <w:r>
        <w:rPr>
          <w:b/>
          <w:bCs/>
        </w:rPr>
        <w:t xml:space="preserve">Data aktivitas tertelusur.</w:t>
      </w:r>
      <w:r>
        <w:t xml:space="preserve"> </w:t>
      </w:r>
      <w:r>
        <w:t xml:space="preserve">Volume terukur, bukan estimasi.</w:t>
      </w:r>
    </w:p>
    <w:p>
      <w:pPr>
        <w:pStyle w:val="Compact"/>
        <w:numPr>
          <w:ilvl w:val="0"/>
          <w:numId w:val="1002"/>
        </w:numPr>
      </w:pPr>
      <w:r>
        <w:rPr>
          <w:b/>
          <w:bCs/>
        </w:rPr>
        <w:t xml:space="preserve">Faktor emisi bersumber resmi.</w:t>
      </w:r>
      <w:r>
        <w:t xml:space="preserve"> </w:t>
      </w:r>
      <w:r>
        <w:t xml:space="preserve">Dari basis data KLHK atau IPCC, bukan angka asing yang disalin mentah.</w:t>
      </w:r>
    </w:p>
    <w:p>
      <w:pPr>
        <w:pStyle w:val="Compact"/>
        <w:numPr>
          <w:ilvl w:val="0"/>
          <w:numId w:val="1002"/>
        </w:numPr>
      </w:pPr>
      <w:r>
        <w:rPr>
          <w:b/>
          <w:bCs/>
        </w:rPr>
        <w:t xml:space="preserve">Metodologi konsisten.</w:t>
      </w:r>
      <w:r>
        <w:t xml:space="preserve"> </w:t>
      </w:r>
      <w:r>
        <w:t xml:space="preserve">Cara hitung yang sama dari periode ke periode.</w:t>
      </w:r>
    </w:p>
    <w:bookmarkEnd w:id="22"/>
    <w:bookmarkStart w:id="25" w:name="Xd4cf394149a571548fafb9f01dc48e43d034030"/>
    <w:p>
      <w:pPr>
        <w:pStyle w:val="Heading2"/>
      </w:pPr>
      <w:r>
        <w:t xml:space="preserve">Jujur: Beralih ke CNG Menurunkan, Bukan Menghapus Emisi</w:t>
      </w:r>
    </w:p>
    <w:p>
      <w:pPr>
        <w:pStyle w:val="FirstParagraph"/>
      </w:pPr>
      <w:r>
        <w:t xml:space="preserve">Beralih ke CNG menurunkan emisi pembakaran per satuan energi, tetapi tidak menghapusnya. Gas bumi tetap bahan bakar fosil yang melepas CO2, dan rantai pasoknya berisiko kebocoran metana. Laporan yang kredibel menyebut CNG sebagai bahan bakar transisi yang terukur, bukan energi nol emisi atau</w:t>
      </w:r>
      <w:r>
        <w:t xml:space="preserve"> </w:t>
      </w:r>
      <w:r>
        <w:t xml:space="preserve">“hijau”</w:t>
      </w:r>
      <w:r>
        <w:t xml:space="preserve">.</w:t>
      </w:r>
    </w:p>
    <w:p>
      <w:pPr>
        <w:pStyle w:val="BodyText"/>
      </w:pPr>
      <w:r>
        <w:t xml:space="preserve">Risikonya nyata. Menurut</w:t>
      </w:r>
      <w:r>
        <w:t xml:space="preserve"> </w:t>
      </w:r>
      <w:hyperlink r:id="rId23">
        <w:r>
          <w:rPr>
            <w:rStyle w:val="Hyperlink"/>
          </w:rPr>
          <w:t xml:space="preserve">IEA (Global Methane Tracker 2025)</w:t>
        </w:r>
      </w:hyperlink>
      <w:r>
        <w:t xml:space="preserve">, sektor energi menyumbang sekitar 145 juta ton metana pada 2024, lebih dari 35% emisi metana akibat aktivitas manusia. Skenario nol emisi bersih IEA bahkan menuntut emisi metana operasi bahan bakar fosil turun sekitar 75% pada 2030 dibanding 2023. Keunggulan gas, dengan kata lain, hanya bertahan bila kebocoran di hulu ditekan.</w:t>
      </w:r>
    </w:p>
    <w:p>
      <w:pPr>
        <w:pStyle w:val="BodyText"/>
      </w:pPr>
      <w:r>
        <w:t xml:space="preserve">Maka berhati-hatilah dengan klaim pemasaran. Menyebut operasi Anda</w:t>
      </w:r>
      <w:r>
        <w:t xml:space="preserve"> </w:t>
      </w:r>
      <w:r>
        <w:t xml:space="preserve">“hijau”</w:t>
      </w:r>
      <w:r>
        <w:t xml:space="preserve"> </w:t>
      </w:r>
      <w:r>
        <w:t xml:space="preserve">hanya karena beralih ke gas adalah greenwashing bila tak disertai angka dan metodologi. Klaim yang paling aman dan paling mudah dipertahankan di depan auditor: emisi lebih rendah, dibuktikan dengan data aktivitas dan faktor emisi resmi.</w:t>
      </w:r>
    </w:p>
    <w:p>
      <w:pPr>
        <w:pStyle w:val="BodyText"/>
      </w:pPr>
      <w:r>
        <w:t xml:space="preserve">Dalam kerangka transisi nasional, gas bumi, baik sebagai CNG maupun</w:t>
      </w:r>
      <w:r>
        <w:t xml:space="preserve"> </w:t>
      </w:r>
      <w:hyperlink r:id="rId24">
        <w:r>
          <w:rPr>
            <w:rStyle w:val="Hyperlink"/>
          </w:rPr>
          <w:t xml:space="preserve">LNG dalam bauran energi lebih bersih</w:t>
        </w:r>
      </w:hyperlink>
      <w:r>
        <w:t xml:space="preserve">, diposisikan sebagai jembatan menuju energi rendah karbon. Sektor energi Indonesia sendiri menargetkan penurunan hingga 358 juta ton CO2 pada 2030 (Kementerian ESDM), dan CNG adalah salah satu langkah terukur ke sana, bukan garis akhir.</w:t>
      </w:r>
    </w:p>
    <w:bookmarkEnd w:id="25"/>
    <w:bookmarkStart w:id="33" w:name="faq-pertanyaan-yang-sering-diajukan"/>
    <w:p>
      <w:pPr>
        <w:pStyle w:val="Heading2"/>
      </w:pPr>
      <w:r>
        <w:t xml:space="preserve">FAQ (Pertanyaan yang Sering Diajukan)</w:t>
      </w:r>
    </w:p>
    <w:bookmarkStart w:id="26" w:name="Xbbf0991d458274ee850df6ccc386d30f0f0dd93"/>
    <w:p>
      <w:pPr>
        <w:pStyle w:val="Heading3"/>
      </w:pPr>
      <w:r>
        <w:t xml:space="preserve">Apa itu emisi Scope 1, Scope 2, dan Scope 3?</w:t>
      </w:r>
    </w:p>
    <w:p>
      <w:pPr>
        <w:pStyle w:val="FirstParagraph"/>
      </w:pPr>
      <w:r>
        <w:t xml:space="preserve">Scope 1 adalah emisi langsung dari sumber yang dimiliki atau dikendalikan perusahaan, misalnya pembakaran gas bumi di boiler atau genset. Scope 2 adalah emisi tak langsung dari listrik atau panas yang dibeli. Scope 3 mencakup emisi tak langsung lain di rantai nilai. Definisi ini mengikuti GHG Protocol dan menjadi basis pengungkapan GRI 305.</w:t>
      </w:r>
    </w:p>
    <w:bookmarkEnd w:id="26"/>
    <w:bookmarkStart w:id="27" w:name="Xa5308b0d10a8e619d573ca6065ce1f32152f59f"/>
    <w:p>
      <w:pPr>
        <w:pStyle w:val="Heading3"/>
      </w:pPr>
      <w:r>
        <w:t xml:space="preserve">Apakah beralih dari solar atau LPG ke CNG menurunkan emisi Scope 1?</w:t>
      </w:r>
    </w:p>
    <w:p>
      <w:pPr>
        <w:pStyle w:val="FirstParagraph"/>
      </w:pPr>
      <w:r>
        <w:t xml:space="preserve">Berpotensi menurunkan, karena gas bumi umumnya melepas CO2 pembakaran lebih rendah per satuan energi dibanding bahan bakar padat atau cair fosil lain. Namun besar penurunannya baru terbukti setelah menghitung volume pemakaian dikali faktor emisi resmi untuk bahan bakar lama dan baru, bukan diklaim otomatis.</w:t>
      </w:r>
    </w:p>
    <w:bookmarkEnd w:id="27"/>
    <w:bookmarkStart w:id="29" w:name="X0eb9f40e223833201eaad38182b3c1510a3bb0b"/>
    <w:p>
      <w:pPr>
        <w:pStyle w:val="Heading3"/>
      </w:pPr>
      <w:r>
        <w:t xml:space="preserve">Apa kewajiban perusahaan menurut POJK 51/POJK.03/2017?</w:t>
      </w:r>
    </w:p>
    <w:p>
      <w:pPr>
        <w:pStyle w:val="FirstParagraph"/>
      </w:pPr>
      <w:hyperlink r:id="rId28">
        <w:r>
          <w:rPr>
            <w:rStyle w:val="Hyperlink"/>
          </w:rPr>
          <w:t xml:space="preserve">POJK 51/POJK.03/2017</w:t>
        </w:r>
      </w:hyperlink>
      <w:r>
        <w:t xml:space="preserve"> </w:t>
      </w:r>
      <w:r>
        <w:t xml:space="preserve">mewajibkan Lembaga Jasa Keuangan, Emiten, dan Perusahaan Publik menyusun Laporan Keberlanjutan tahunan. Bila terpisah dari Laporan Tahunan, laporan itu disampaikan ke OJK paling lambat 30 April tahun berikutnya. Perusahaan di luar tiga kategori itu tidak wajib secara langsung, meski banyak yang melapor sukarela karena tekanan investor atau induk usaha.</w:t>
      </w:r>
    </w:p>
    <w:bookmarkEnd w:id="29"/>
    <w:bookmarkStart w:id="30" w:name="X22e24463a2a84ccee09442342e7db3aac3f2caf"/>
    <w:p>
      <w:pPr>
        <w:pStyle w:val="Heading3"/>
      </w:pPr>
      <w:r>
        <w:t xml:space="preserve">Bagaimana cara membuktikan penurunan emisi ke auditor?</w:t>
      </w:r>
    </w:p>
    <w:p>
      <w:pPr>
        <w:pStyle w:val="FirstParagraph"/>
      </w:pPr>
      <w:r>
        <w:t xml:space="preserve">Auditor umumnya mencari tiga hal: data aktivitas tertelusur (bukan estimasi), faktor emisi bersumber resmi seperti basis data KLHK, dan metodologi yang konsisten antarperiode. Data pemakaian dari meteran atau telemetri penyedia gas lebih mudah diverifikasi dibanding catatan manual karena mengurangi ruang subjektivitas.</w:t>
      </w:r>
    </w:p>
    <w:bookmarkEnd w:id="30"/>
    <w:bookmarkStart w:id="31" w:name="Xaa597a15112547843acf7b8c80b6be6ccb97fbe"/>
    <w:p>
      <w:pPr>
        <w:pStyle w:val="Heading3"/>
      </w:pPr>
      <w:r>
        <w:t xml:space="preserve">Apakah CNG bisa disebut energi</w:t>
      </w:r>
      <w:r>
        <w:t xml:space="preserve"> </w:t>
      </w:r>
      <w:r>
        <w:t xml:space="preserve">“hijau”</w:t>
      </w:r>
      <w:r>
        <w:t xml:space="preserve"> </w:t>
      </w:r>
      <w:r>
        <w:t xml:space="preserve">atau nol emisi?</w:t>
      </w:r>
    </w:p>
    <w:p>
      <w:pPr>
        <w:pStyle w:val="FirstParagraph"/>
      </w:pPr>
      <w:r>
        <w:t xml:space="preserve">Tidak sepenuhnya. CNG tetap bahan bakar fosil yang melepas CO2 saat dibakar, dan rantai pasok gas alam secara global masih berisiko kebocoran metana, menurut IEA. Klaim yang jujur memposisikan CNG sebagai bahan bakar transisi dengan emisi lebih rendah dibanding solar atau batu bara, bukan solusi nol emisi, dan selalu menyertakan data serta metodologi perhitungannya.</w:t>
      </w:r>
    </w:p>
    <w:bookmarkEnd w:id="31"/>
    <w:bookmarkStart w:id="32" w:name="X176f88ccc98601df9b7121b7b02083028debd55"/>
    <w:p>
      <w:pPr>
        <w:pStyle w:val="Heading3"/>
      </w:pPr>
      <w:r>
        <w:t xml:space="preserve">Apakah penyedia CNG menerbitkan kredit karbon dari data pemakaian pelanggan?</w:t>
      </w:r>
    </w:p>
    <w:p>
      <w:pPr>
        <w:pStyle w:val="FirstParagraph"/>
      </w:pPr>
      <w:r>
        <w:t xml:space="preserve">Umumnya tidak. Penyedia CNG menyediakan data pemakaian gas tertelusur sebagai bahan perhitungan emisi pelanggan, bukan menerbitkan kredit karbon. Penerbitan unit karbon (SPE-GRK) adalah proses regulator terpisah yang melibatkan verifikasi MRV independen dan registrasi di SRN PPI milik KLHK, di bawah pengawasan OJK untuk perdagangannya di Bursa Karbon Indonesia.</w:t>
      </w:r>
    </w:p>
    <w:bookmarkEnd w:id="32"/>
    <w:bookmarkEnd w:id="33"/>
    <w:bookmarkStart w:id="34" w:name="kesimpulan"/>
    <w:p>
      <w:pPr>
        <w:pStyle w:val="Heading2"/>
      </w:pPr>
      <w:r>
        <w:t xml:space="preserve">Kesimpulan</w:t>
      </w:r>
    </w:p>
    <w:p>
      <w:pPr>
        <w:pStyle w:val="FirstParagraph"/>
      </w:pPr>
      <w:r>
        <w:t xml:space="preserve">Kembali ke pertanyaan auditor di awal tadi: jawaban yang kredibel selalu berupa angka bersumber, bukan klaim</w:t>
      </w:r>
      <w:r>
        <w:t xml:space="preserve"> </w:t>
      </w:r>
      <w:r>
        <w:t xml:space="preserve">“lebih hijau”</w:t>
      </w:r>
      <w:r>
        <w:t xml:space="preserve">. Memilih perusahaan CNG yang disiplin mencatat dan menyerahkan data pemakaian tertelusur berarti setengah pekerjaan pelaporan sudah selesai sebelum audit dimulai. Sebagai penyedia gas bumi lebih bersih dalam ekosistem PGN (Subholding Gas Pertamina), PGN Gagas menyalurkan CNG lewat Gaslink dengan pencatatan pemakaian berbasis telemetri, dan rekam pelaporannya sendiri (Silver Stevie, Laporan Tahunan 2024) menandai disiplin dokumentasi yang sama. Angka faktor emisi dan verifikasinya tetap Anda ambil dari sumber resmi seperti KLHK; peran penyedia adalah memastikan sisi data pemakaian rapi dan bisa ditelusuri.</w:t>
      </w:r>
    </w:p>
    <w:p>
      <w:pPr>
        <w:pStyle w:val="BodyText"/>
      </w:pPr>
      <w:r>
        <w:t xml:space="preserve">Untuk menilai kesiapan data pasokan gas Anda menopang laporan keberlanjutan, mulai diskusi dan telusuri solusi Gaslink di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4" Target="https://gagas.co.id/perusahaan-lng-indonesia/" TargetMode="External" /><Relationship Type="http://schemas.openxmlformats.org/officeDocument/2006/relationships/hyperlink" Id="rId28" Target="https://ojk.go.id/id/kanal/perbankan/regulasi/peraturan-ojk/Pages/POJK-Penerapan-Keuangan-Berkelanjutan-bagi-Lembaga-Jasa-Keuangan,-Emiten,-dan-Perusahaan-Publik.aspx" TargetMode="External" /><Relationship Type="http://schemas.openxmlformats.org/officeDocument/2006/relationships/hyperlink" Id="rId23" Target="https://www.iea.org/reports/global-methane-tracker-2025/understanding-methane-emissions" TargetMode="External" /></Relationships>
</file>

<file path=word/_rels/footnotes.xml.rels><?xml version="1.0" encoding="UTF-8"?><Relationships xmlns="http://schemas.openxmlformats.org/package/2006/relationships"><Relationship Type="http://schemas.openxmlformats.org/officeDocument/2006/relationships/hyperlink" Id="rId20"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4" Target="https://gagas.co.id/perusahaan-lng-indonesia/" TargetMode="External" /><Relationship Type="http://schemas.openxmlformats.org/officeDocument/2006/relationships/hyperlink" Id="rId28" Target="https://ojk.go.id/id/kanal/perbankan/regulasi/peraturan-ojk/Pages/POJK-Penerapan-Keuangan-Berkelanjutan-bagi-Lembaga-Jasa-Keuangan,-Emiten,-dan-Perusahaan-Publik.aspx" TargetMode="External" /><Relationship Type="http://schemas.openxmlformats.org/officeDocument/2006/relationships/hyperlink" Id="rId23" Target="https://www.iea.org/reports/global-methane-tracker-2025/understanding-methane-emiss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2026-08-11T07:59:18Z</dcterms:created>
  <dcterms:modified xsi:type="dcterms:W3CDTF">2026-08-11T07:59:18Z</dcterms:modified>
</cp:coreProperties>
</file>

<file path=docProps/custom.xml><?xml version="1.0" encoding="utf-8"?>
<Properties xmlns="http://schemas.openxmlformats.org/officeDocument/2006/custom-properties" xmlns:vt="http://schemas.openxmlformats.org/officeDocument/2006/docPropsVTypes"/>
</file>