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"Kontrak dan Harga LNG di Indonesia: Take-or-Pay hingga Indeksasi"</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Kontrak &amp; Harga LNG"</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kontrak dari sisi pembeli perusahaan LNG Indonesia: pahami take-or-pay, minimum offtake, ACQ/DCQ, indeksasi harga (ICP/Brent/JKM), HGBT, dan jebakannya."</w:t>
      </w:r>
      <w:r>
        <w:br/>
      </w:r>
      <w:r>
        <w:rPr>
          <w:rStyle w:val="FunctionTok"/>
        </w:rPr>
        <w:t xml:space="preserve">slug</w:t>
      </w:r>
      <w:r>
        <w:rPr>
          <w:rStyle w:val="KeywordTok"/>
        </w:rPr>
        <w:t xml:space="preserve">:</w:t>
      </w:r>
      <w:r>
        <w:rPr>
          <w:rStyle w:val="AttributeTok"/>
        </w:rPr>
        <w:t xml:space="preserve"> </w:t>
      </w:r>
      <w:r>
        <w:rPr>
          <w:rStyle w:val="StringTok"/>
        </w:rPr>
        <w:t xml:space="preserve">"perusahaan-lng-indonesia-kontrak-harga"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"kontrak jual beli gas (PJBG)"</w:t>
      </w:r>
      <w:r>
        <w:rPr>
          <w:rStyle w:val="KeywordTok"/>
        </w:rPr>
        <w:t xml:space="preserve">,</w:t>
      </w:r>
      <w:r>
        <w:rPr>
          <w:rStyle w:val="AttributeTok"/>
        </w:rPr>
        <w:t xml:space="preserve"> </w:t>
      </w:r>
      <w:r>
        <w:rPr>
          <w:rStyle w:val="StringTok"/>
        </w:rPr>
        <w:t xml:space="preserve">"take-or-pay"</w:t>
      </w:r>
      <w:r>
        <w:rPr>
          <w:rStyle w:val="KeywordTok"/>
        </w:rPr>
        <w:t xml:space="preserve">,</w:t>
      </w:r>
      <w:r>
        <w:rPr>
          <w:rStyle w:val="AttributeTok"/>
        </w:rPr>
        <w:t xml:space="preserve"> </w:t>
      </w:r>
      <w:r>
        <w:rPr>
          <w:rStyle w:val="StringTok"/>
        </w:rPr>
        <w:t xml:space="preserve">"minimum offtake"</w:t>
      </w:r>
      <w:r>
        <w:rPr>
          <w:rStyle w:val="KeywordTok"/>
        </w:rPr>
        <w:t xml:space="preserve">,</w:t>
      </w:r>
      <w:r>
        <w:rPr>
          <w:rStyle w:val="AttributeTok"/>
        </w:rPr>
        <w:t xml:space="preserve"> </w:t>
      </w:r>
      <w:r>
        <w:rPr>
          <w:rStyle w:val="StringTok"/>
        </w:rPr>
        <w:t xml:space="preserve">"ACQ DCQ"</w:t>
      </w:r>
      <w:r>
        <w:rPr>
          <w:rStyle w:val="KeywordTok"/>
        </w:rPr>
        <w:t xml:space="preserve">,</w:t>
      </w:r>
      <w:r>
        <w:rPr>
          <w:rStyle w:val="AttributeTok"/>
        </w:rPr>
        <w:t xml:space="preserve"> </w:t>
      </w:r>
      <w:r>
        <w:rPr>
          <w:rStyle w:val="StringTok"/>
        </w:rPr>
        <w:t xml:space="preserve">"indeksasi harga gas"</w:t>
      </w:r>
      <w:r>
        <w:rPr>
          <w:rStyle w:val="KeywordTok"/>
        </w:rPr>
        <w:t xml:space="preserve">,</w:t>
      </w:r>
      <w:r>
        <w:rPr>
          <w:rStyle w:val="AttributeTok"/>
        </w:rPr>
        <w:t xml:space="preserve"> </w:t>
      </w:r>
      <w:r>
        <w:rPr>
          <w:rStyle w:val="StringTok"/>
        </w:rPr>
        <w:t xml:space="preserve">"harga LNG per MMBTU"</w:t>
      </w:r>
      <w:r>
        <w:rPr>
          <w:rStyle w:val="KeywordTok"/>
        </w:rPr>
        <w:t xml:space="preserve">,</w:t>
      </w:r>
      <w:r>
        <w:rPr>
          <w:rStyle w:val="AttributeTok"/>
        </w:rPr>
        <w:t xml:space="preserve"> </w:t>
      </w:r>
      <w:r>
        <w:rPr>
          <w:rStyle w:val="StringTok"/>
        </w:rPr>
        <w:t xml:space="preserve">"formula harga ICP Brent JKM"</w:t>
      </w:r>
      <w:r>
        <w:rPr>
          <w:rStyle w:val="KeywordTok"/>
        </w:rPr>
        <w:t xml:space="preserve">,</w:t>
      </w:r>
      <w:r>
        <w:rPr>
          <w:rStyle w:val="AttributeTok"/>
        </w:rPr>
        <w:t xml:space="preserve"> </w:t>
      </w:r>
      <w:r>
        <w:rPr>
          <w:rStyle w:val="StringTok"/>
        </w:rPr>
        <w:t xml:space="preserve">"make-up rights"</w:t>
      </w:r>
      <w:r>
        <w:rPr>
          <w:rStyle w:val="KeywordTok"/>
        </w:rPr>
        <w:t xml:space="preserve">,</w:t>
      </w:r>
      <w:r>
        <w:rPr>
          <w:rStyle w:val="AttributeTok"/>
        </w:rPr>
        <w:t xml:space="preserve"> </w:t>
      </w:r>
      <w:r>
        <w:rPr>
          <w:rStyle w:val="StringTok"/>
        </w:rPr>
        <w:t xml:space="preserve">"HGBT"</w:t>
      </w:r>
      <w:r>
        <w:rPr>
          <w:rStyle w:val="KeywordTok"/>
        </w:rPr>
        <w:t xml:space="preserve">,</w:t>
      </w:r>
      <w:r>
        <w:rPr>
          <w:rStyle w:val="AttributeTok"/>
        </w:rPr>
        <w:t xml:space="preserve"> </w:t>
      </w:r>
      <w:r>
        <w:rPr>
          <w:rStyle w:val="StringTok"/>
        </w:rPr>
        <w:t xml:space="preserve">"boil-off gas"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"https://www.esdm.go.id/id/media-center/arsip-berita/selamatkan-industri-menteri-esdm-turunkan-harga-lng-industri"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"Harga LNG non-HGBT turun ke US$13/MMBTU efektif 29 Juni 2026 (Jabar/Banten/DKI)"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"Skema HGBT US$6,5–7/MMBTU, 7 sektor, 253 pengguna, Kepmen 76.K/2025"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"https://www.spglobal.com/energy/en/pricing-benchmarks/assessments/lng/jkm-japan-korea-marker-gas-price-explained"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sejarah JKM (Japan Korea Marker) sebagai acuan spot LNG Asia"</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1559</w:t>
      </w:r>
    </w:p>
    <w:p>
      <w:r>
        <w:pict>
          <v:rect style="width:0;height:1.5pt" o:hralign="center" o:hrstd="t" o:hr="t"/>
        </w:pict>
      </w:r>
    </w:p>
    <w:bookmarkEnd w:id="16"/>
    <w:bookmarkStart w:id="35" w:name="X9327fed89fee1f84f69a353330a09209f30d9a2"/>
    <w:p>
      <w:pPr>
        <w:pStyle w:val="Heading1"/>
      </w:pPr>
      <w:r>
        <w:t xml:space="preserve">Kontrak dan Harga LNG di Indonesia: Take-or-Pay hingga Indeksasi</w:t>
      </w:r>
    </w:p>
    <w:p>
      <w:pPr>
        <w:pStyle w:val="FirstParagraph"/>
      </w:pPr>
      <w:r>
        <w:t xml:space="preserve">Sebelum meneken pasokan LNG, tim procurement dan keuangan kerap tersandung istilah yang jarang dijelaskan gamblang: take-or-pay, minimum offtake, ACQ/DCQ, sampai indeksasi harga. Salah membaca satu klausul saja bisa mengunci pabrik pada volume yang tak terpakai, atau pada harga yang melonjak mengikuti pasar minyak. Menyaring perusahaan LNG Indonesia yang kredibel baru separuh pekerjaan; separuhnya lagi ada di syarat komersial kontrak. Tulisan ini membedah anatomi kontrak dan harga LNG dari kacamata pembeli industri, termasuk saat menimbang</w:t>
      </w:r>
      <w:r>
        <w:t xml:space="preserve"> </w:t>
      </w:r>
      <w:hyperlink r:id="rId17">
        <w:r>
          <w:rPr>
            <w:rStyle w:val="Hyperlink"/>
          </w:rPr>
          <w:t xml:space="preserve">penyedia LNG di Indonesia</w:t>
        </w:r>
      </w:hyperlink>
      <w:r>
        <w:t xml:space="preserve">: apa yang dinegosiasikan, bagaimana harga dibentuk, dan jebakan yang sering terlewat.</w:t>
      </w:r>
    </w:p>
    <w:p>
      <w:pPr>
        <w:pStyle w:val="BlockText"/>
      </w:pPr>
      <w:r>
        <w:rPr>
          <w:b/>
          <w:bCs/>
        </w:rPr>
        <w:t xml:space="preserve">Ringkas:</w:t>
      </w:r>
      <w:r>
        <w:t xml:space="preserve"> </w:t>
      </w:r>
      <w:r>
        <w:t xml:space="preserve">Take-or-pay adalah klausul dalam kontrak pasokan gas atau LNG yang mewajibkan pembeli membayar volume minimum yang disepakati (biasanya berbasis Annual Contract Quantity/ACQ) meski volume itu tak sepenuhnya diambil. Klausul ini memberi kepastian pendapatan bagi penjual; ambang persentasenya dinegosiasikan per kontrak, dalam praktik industri global sering dikutip 70–95% dari ACQ.</w:t>
      </w:r>
    </w:p>
    <w:p>
      <w:pPr>
        <w:pStyle w:val="FirstParagraph"/>
      </w:pPr>
      <w:r>
        <w:rPr>
          <w:i/>
          <w:iCs/>
        </w:rPr>
        <w:t xml:space="preserve">[Image 01: Infografik alur</w:t>
      </w:r>
      <w:r>
        <w:rPr>
          <w:i/>
          <w:iCs/>
        </w:rPr>
        <w:t xml:space="preserve"> </w:t>
      </w:r>
      <w:r>
        <w:rPr>
          <w:i/>
          <w:iCs/>
        </w:rPr>
        <w:t xml:space="preserve">“Anatomi Kontrak Pasokan LNG”</w:t>
      </w:r>
      <w:r>
        <w:rPr>
          <w:i/>
          <w:iCs/>
        </w:rPr>
        <w:t xml:space="preserve">: lima kotak berurutan dihubungkan panah — Volume (ACQ/DCQ), Harga &amp; Indeksasi (ICP/Brent/JKM), Take-or-Pay &amp; Make-up Rights, Durasi &amp; SLA Pasokan, Klausul BOG/Losses. Gaya korporat, palet biru-hijau, label ringkas Bahasa Indonesia. Alt:</w:t>
      </w:r>
      <w:r>
        <w:rPr>
          <w:i/>
          <w:iCs/>
        </w:rPr>
        <w:t xml:space="preserve"> </w:t>
      </w:r>
      <w:r>
        <w:rPr>
          <w:i/>
          <w:iCs/>
        </w:rPr>
        <w:t xml:space="preserve">“Diagram lima komponen utama kontrak pasokan LNG”</w:t>
      </w:r>
      <w:r>
        <w:rPr>
          <w:i/>
          <w:iCs/>
        </w:rPr>
        <w:t xml:space="preserve">.]</w:t>
      </w:r>
    </w:p>
    <w:bookmarkStart w:id="18" w:name="X8c299e3335dd5633a7e510dc7d55fa41f4b0e41"/>
    <w:p>
      <w:pPr>
        <w:pStyle w:val="Heading2"/>
      </w:pPr>
      <w:r>
        <w:t xml:space="preserve">Apa Saja Komponen Utama Kontrak Pasokan LNG?</w:t>
      </w:r>
    </w:p>
    <w:p>
      <w:pPr>
        <w:pStyle w:val="FirstParagraph"/>
      </w:pPr>
      <w:r>
        <w:t xml:space="preserve">Kontrak pasokan LNG umumnya dituangkan dalam Perjanjian Jual Beli Gas (PJBG), padanan</w:t>
      </w:r>
      <w:r>
        <w:t xml:space="preserve"> </w:t>
      </w:r>
      <w:r>
        <w:rPr>
          <w:i/>
          <w:iCs/>
        </w:rPr>
        <w:t xml:space="preserve">Gas Sale and Purchase Agreement</w:t>
      </w:r>
      <w:r>
        <w:t xml:space="preserve"> </w:t>
      </w:r>
      <w:r>
        <w:t xml:space="preserve">(SPA). Lima komponen intinya: volume (ACQ dan DCQ), formula harga dan indeksasi, kewajiban take-or-pay, durasi serta SLA pasokan, dan pembagian tanggung jawab atas</w:t>
      </w:r>
      <w:r>
        <w:t xml:space="preserve"> </w:t>
      </w:r>
      <w:r>
        <w:rPr>
          <w:i/>
          <w:iCs/>
        </w:rPr>
        <w:t xml:space="preserve">boil-off gas</w:t>
      </w:r>
      <w:r>
        <w:t xml:space="preserve">. Kelimanya dinegosiasikan bilateral, bukan ditetapkan seragam oleh regulasi.</w:t>
      </w:r>
    </w:p>
    <w:p>
      <w:pPr>
        <w:pStyle w:val="BodyText"/>
      </w:pPr>
      <w:r>
        <w:t xml:space="preserve">Harga per MMBTU yang tampak menarik di halaman depan bisa menyembunyikan komitmen volume atau eksposur harga yang tak cocok dengan profil pemakaian Anda. Karena itu tim yang matang membaca kontrak sebagai satu kesatuan:</w:t>
      </w:r>
    </w:p>
    <w:p>
      <w:pPr>
        <w:pStyle w:val="Compact"/>
        <w:numPr>
          <w:ilvl w:val="0"/>
          <w:numId w:val="1001"/>
        </w:numPr>
      </w:pPr>
      <w:r>
        <w:rPr>
          <w:b/>
          <w:bCs/>
        </w:rPr>
        <w:t xml:space="preserve">Volume (ACQ dan DCQ).</w:t>
      </w:r>
      <w:r>
        <w:t xml:space="preserve"> </w:t>
      </w:r>
      <w:r>
        <w:t xml:space="preserve">Berapa gas yang wajib dibeli dalam setahun (</w:t>
      </w:r>
      <w:r>
        <w:rPr>
          <w:i/>
          <w:iCs/>
        </w:rPr>
        <w:t xml:space="preserve">Annual Contract Quantity</w:t>
      </w:r>
      <w:r>
        <w:t xml:space="preserve">) dan dijadwalkan tiap hari (</w:t>
      </w:r>
      <w:r>
        <w:rPr>
          <w:i/>
          <w:iCs/>
        </w:rPr>
        <w:t xml:space="preserve">Daily Contract Quantity</w:t>
      </w:r>
      <w:r>
        <w:t xml:space="preserve">).</w:t>
      </w:r>
    </w:p>
    <w:p>
      <w:pPr>
        <w:pStyle w:val="Compact"/>
        <w:numPr>
          <w:ilvl w:val="0"/>
          <w:numId w:val="1001"/>
        </w:numPr>
      </w:pPr>
      <w:r>
        <w:rPr>
          <w:b/>
          <w:bCs/>
        </w:rPr>
        <w:t xml:space="preserve">Harga dan indeksasi.</w:t>
      </w:r>
      <w:r>
        <w:t xml:space="preserve"> </w:t>
      </w:r>
      <w:r>
        <w:t xml:space="preserve">Formula yang mengaitkan harga ke acuan pasar (Brent/JCC, ICP, atau spot JKM).</w:t>
      </w:r>
    </w:p>
    <w:p>
      <w:pPr>
        <w:pStyle w:val="Compact"/>
        <w:numPr>
          <w:ilvl w:val="0"/>
          <w:numId w:val="1001"/>
        </w:numPr>
      </w:pPr>
      <w:r>
        <w:rPr>
          <w:b/>
          <w:bCs/>
        </w:rPr>
        <w:t xml:space="preserve">Take-or-pay dan make-up rights.</w:t>
      </w:r>
      <w:r>
        <w:t xml:space="preserve"> </w:t>
      </w:r>
      <w:r>
        <w:t xml:space="preserve">Kewajiban membayar volume minimum meski tak diambil, plus hak menebusnya kembali.</w:t>
      </w:r>
    </w:p>
    <w:p>
      <w:pPr>
        <w:pStyle w:val="Compact"/>
        <w:numPr>
          <w:ilvl w:val="0"/>
          <w:numId w:val="1001"/>
        </w:numPr>
      </w:pPr>
      <w:r>
        <w:rPr>
          <w:b/>
          <w:bCs/>
        </w:rPr>
        <w:t xml:space="preserve">Durasi dan SLA pasokan.</w:t>
      </w:r>
      <w:r>
        <w:t xml:space="preserve"> </w:t>
      </w:r>
      <w:r>
        <w:t xml:space="preserve">Jangka kontrak, jadwal nominasi, standar keandalan, dan penalti bila pasokan meleset.</w:t>
      </w:r>
    </w:p>
    <w:p>
      <w:pPr>
        <w:pStyle w:val="Compact"/>
        <w:numPr>
          <w:ilvl w:val="0"/>
          <w:numId w:val="1001"/>
        </w:numPr>
      </w:pPr>
      <w:r>
        <w:rPr>
          <w:b/>
          <w:bCs/>
        </w:rPr>
        <w:t xml:space="preserve">Boil-off dan losses.</w:t>
      </w:r>
      <w:r>
        <w:t xml:space="preserve"> </w:t>
      </w:r>
      <w:r>
        <w:t xml:space="preserve">Siapa menanggung gas yang menguap selama simpan dan angkut, serta ambang toleransinya.</w:t>
      </w:r>
    </w:p>
    <w:bookmarkEnd w:id="18"/>
    <w:bookmarkStart w:id="20" w:name="X30aff2cded3e14d41c07416de654ff3bdfcd444"/>
    <w:p>
      <w:pPr>
        <w:pStyle w:val="Heading2"/>
      </w:pPr>
      <w:r>
        <w:t xml:space="preserve">Apa Itu Take-or-Pay, Minimum Offtake, dan Make-up Rights?</w:t>
      </w:r>
    </w:p>
    <w:p>
      <w:pPr>
        <w:pStyle w:val="FirstParagraph"/>
      </w:pPr>
      <w:r>
        <w:t xml:space="preserve">Take-or-pay mewajibkan pembeli membayar volume minimum yang disepakati meski tak sepenuhnya diambil; minimum offtake adalah volume terendah itu, yang terikat pada Annual Contract Quantity (ACQ). Make-up rights adalah hak menebus kembali, di periode berikutnya, volume yang sudah dibayar tetapi belum diambil. Ketiganya dinegosiasikan bilateral, bukan dipatok satu regulasi nasional di Indonesia.</w:t>
      </w:r>
    </w:p>
    <w:p>
      <w:pPr>
        <w:pStyle w:val="BodyText"/>
      </w:pPr>
      <w:r>
        <w:t xml:space="preserve">Penjual LNG menanggung investasi besar di likuifaksi, kapal, dan terminal, sehingga menuntut kepastian pendapatan lewat take-or-pay. Bagi pembeli, ini risiko: bila permintaan riil turun di bawah komitmen, Anda tetap membayar. Maka tinggi ambang ToP, fleksibilitas volume, dan batas waktu make-up rights (dalam praktik sering dikutip hingga sekitar lima tahun sebelum hangus) wajib dinegosiasikan cermat.</w:t>
      </w:r>
    </w:p>
    <w:p>
      <w:pPr>
        <w:pStyle w:val="BodyText"/>
      </w:pPr>
      <w:r>
        <w:t xml:space="preserve">Berapa tinggi ToP yang wajar? Dalam praktik industri LNG global, ambangnya sering dilaporkan berkisar 70–95% dari ACQ, dengan sejumlah kontrak Asia lama mendekati 100%. Ini rentang praktik internasional, bukan angka yang dipatok regulasi Indonesia; tak ada aturan tunggal nasional yang menetapkan persentase ToP, ACQ, atau DCQ. Semuanya dinegosiasikan per PJBG. Untuk pasokan</w:t>
      </w:r>
      <w:r>
        <w:t xml:space="preserve"> </w:t>
      </w:r>
      <w:r>
        <w:rPr>
          <w:i/>
          <w:iCs/>
        </w:rPr>
        <w:t xml:space="preserve">beyond-pipeline</w:t>
      </w:r>
      <w:r>
        <w:t xml:space="preserve"> </w:t>
      </w:r>
      <w:r>
        <w:t xml:space="preserve">berskala lebih kecil, termasuk saat menimbang</w:t>
      </w:r>
      <w:r>
        <w:t xml:space="preserve"> </w:t>
      </w:r>
      <w:hyperlink r:id="rId19">
        <w:r>
          <w:rPr>
            <w:rStyle w:val="Hyperlink"/>
          </w:rPr>
          <w:t xml:space="preserve">penyedia CNG</w:t>
        </w:r>
      </w:hyperlink>
      <w:r>
        <w:t xml:space="preserve">, struktur serupa berlaku dan levelnya disesuaikan kasus per kasus.</w:t>
      </w:r>
    </w:p>
    <w:p>
      <w:pPr>
        <w:pStyle w:val="BodyText"/>
      </w:pPr>
      <w:r>
        <w:t xml:space="preserve">Berikut istilah kunci kontrak LNG dalam satu tabel: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Istilah</w:t>
            </w:r>
          </w:p>
        </w:tc>
        <w:tc>
          <w:tcPr/>
          <w:p>
            <w:pPr>
              <w:pStyle w:val="Compact"/>
            </w:pPr>
            <w:r>
              <w:t xml:space="preserve">Arti singkat</w:t>
            </w:r>
          </w:p>
        </w:tc>
        <w:tc>
          <w:tcPr/>
          <w:p>
            <w:pPr>
              <w:pStyle w:val="Compact"/>
            </w:pPr>
            <w:r>
              <w:t xml:space="preserve">Implikasi bagi pembeli</w:t>
            </w:r>
          </w:p>
        </w:tc>
      </w:tr>
      <w:tr>
        <w:tc>
          <w:tcPr/>
          <w:p>
            <w:pPr>
              <w:pStyle w:val="Compact"/>
            </w:pPr>
            <w:r>
              <w:t xml:space="preserve">PJBG / SPA</w:t>
            </w:r>
          </w:p>
        </w:tc>
        <w:tc>
          <w:tcPr/>
          <w:p>
            <w:pPr>
              <w:pStyle w:val="Compact"/>
            </w:pPr>
            <w:r>
              <w:t xml:space="preserve">Perjanjian Jual Beli Gas, kontrak induk niaga gas</w:t>
            </w:r>
          </w:p>
        </w:tc>
        <w:tc>
          <w:tcPr/>
          <w:p>
            <w:pPr>
              <w:pStyle w:val="Compact"/>
            </w:pPr>
            <w:r>
              <w:t xml:space="preserve">Mengikat seluruh syarat komersial lain</w:t>
            </w:r>
          </w:p>
        </w:tc>
      </w:tr>
      <w:tr>
        <w:tc>
          <w:tcPr/>
          <w:p>
            <w:pPr>
              <w:pStyle w:val="Compact"/>
            </w:pPr>
            <w:r>
              <w:t xml:space="preserve">Take-or-Pay</w:t>
            </w:r>
          </w:p>
        </w:tc>
        <w:tc>
          <w:tcPr/>
          <w:p>
            <w:pPr>
              <w:pStyle w:val="Compact"/>
            </w:pPr>
            <w:r>
              <w:t xml:space="preserve">Kewajiban bayar volume minimum meski tak diambil</w:t>
            </w:r>
          </w:p>
        </w:tc>
        <w:tc>
          <w:tcPr/>
          <w:p>
            <w:pPr>
              <w:pStyle w:val="Compact"/>
            </w:pPr>
            <w:r>
              <w:t xml:space="preserve">Risiko finansial bila kebutuhan riil turun</w:t>
            </w:r>
          </w:p>
        </w:tc>
      </w:tr>
      <w:tr>
        <w:tc>
          <w:tcPr/>
          <w:p>
            <w:pPr>
              <w:pStyle w:val="Compact"/>
            </w:pPr>
            <w:r>
              <w:t xml:space="preserve">Make-up rights</w:t>
            </w:r>
          </w:p>
        </w:tc>
        <w:tc>
          <w:tcPr/>
          <w:p>
            <w:pPr>
              <w:pStyle w:val="Compact"/>
            </w:pPr>
            <w:r>
              <w:t xml:space="preserve">Hak menebus volume ToP yang sudah dibayar di periode berikut</w:t>
            </w:r>
          </w:p>
        </w:tc>
        <w:tc>
          <w:tcPr/>
          <w:p>
            <w:pPr>
              <w:pStyle w:val="Compact"/>
            </w:pPr>
            <w:r>
              <w:t xml:space="preserve">Cek batas waktunya agar nilai tak hangus</w:t>
            </w:r>
          </w:p>
        </w:tc>
      </w:tr>
      <w:tr>
        <w:tc>
          <w:tcPr/>
          <w:p>
            <w:pPr>
              <w:pStyle w:val="Compact"/>
            </w:pPr>
            <w:r>
              <w:t xml:space="preserve">Indeksasi harga</w:t>
            </w:r>
          </w:p>
        </w:tc>
        <w:tc>
          <w:tcPr/>
          <w:p>
            <w:pPr>
              <w:pStyle w:val="Compact"/>
            </w:pPr>
            <w:r>
              <w:t xml:space="preserve">Formula terikat acuan minyak (Brent/JCC) atau spot JKM</w:t>
            </w:r>
          </w:p>
        </w:tc>
        <w:tc>
          <w:tcPr/>
          <w:p>
            <w:pPr>
              <w:pStyle w:val="Compact"/>
            </w:pPr>
            <w:r>
              <w:t xml:space="preserve">Menentukan eksposur ke volatilitas pasar</w:t>
            </w:r>
          </w:p>
        </w:tc>
      </w:tr>
      <w:tr>
        <w:tc>
          <w:tcPr/>
          <w:p>
            <w:pPr>
              <w:pStyle w:val="Compact"/>
            </w:pPr>
            <w:r>
              <w:t xml:space="preserve">HGBT</w:t>
            </w:r>
          </w:p>
        </w:tc>
        <w:tc>
          <w:tcPr/>
          <w:p>
            <w:pPr>
              <w:pStyle w:val="Compact"/>
            </w:pPr>
            <w:r>
              <w:t xml:space="preserve">Harga gas khusus 7 sektor industri, via pipa</w:t>
            </w:r>
          </w:p>
        </w:tc>
        <w:tc>
          <w:tcPr/>
          <w:p>
            <w:pPr>
              <w:pStyle w:val="Compact"/>
            </w:pPr>
            <w:r>
              <w:t xml:space="preserve">Cek dulu apakah sektor Anda memenuhi syarat</w:t>
            </w:r>
          </w:p>
        </w:tc>
      </w:tr>
      <w:tr>
        <w:tc>
          <w:tcPr/>
          <w:p>
            <w:pPr>
              <w:pStyle w:val="Compact"/>
            </w:pPr>
            <w:r>
              <w:t xml:space="preserve">BOG allowance</w:t>
            </w:r>
          </w:p>
        </w:tc>
        <w:tc>
          <w:tcPr/>
          <w:p>
            <w:pPr>
              <w:pStyle w:val="Compact"/>
            </w:pPr>
            <w:r>
              <w:t xml:space="preserve">Batas toleransi penguapan LNG saat simpan/angkut</w:t>
            </w:r>
          </w:p>
        </w:tc>
        <w:tc>
          <w:tcPr/>
          <w:p>
            <w:pPr>
              <w:pStyle w:val="Compact"/>
            </w:pPr>
            <w:r>
              <w:t xml:space="preserve">Kelebihan bisa jadi biaya tambahan</w:t>
            </w:r>
          </w:p>
        </w:tc>
      </w:tr>
      <w:tr>
        <w:tc>
          <w:tcPr/>
          <w:p>
            <w:pPr>
              <w:pStyle w:val="Compact"/>
            </w:pPr>
            <w:r>
              <w:t xml:space="preserve">DES / FOB</w:t>
            </w:r>
          </w:p>
        </w:tc>
        <w:tc>
          <w:tcPr/>
          <w:p>
            <w:pPr>
              <w:pStyle w:val="Compact"/>
            </w:pPr>
            <w:r>
              <w:t xml:space="preserve">Skema serah risiko di pelabuhan tujuan vs asal</w:t>
            </w:r>
          </w:p>
        </w:tc>
        <w:tc>
          <w:tcPr/>
          <w:p>
            <w:pPr>
              <w:pStyle w:val="Compact"/>
            </w:pPr>
            <w:r>
              <w:t xml:space="preserve">Menentukan penanggung biaya dan risiko kapal</w:t>
            </w:r>
          </w:p>
        </w:tc>
      </w:tr>
    </w:tbl>
    <w:bookmarkEnd w:id="20"/>
    <w:bookmarkStart w:id="22" w:name="bagaimana-harga-lng-ditentukan"/>
    <w:p>
      <w:pPr>
        <w:pStyle w:val="Heading2"/>
      </w:pPr>
      <w:r>
        <w:t xml:space="preserve">Bagaimana Harga LNG Ditentukan?</w:t>
      </w:r>
    </w:p>
    <w:p>
      <w:pPr>
        <w:pStyle w:val="FirstParagraph"/>
      </w:pPr>
      <w:r>
        <w:t xml:space="preserve">Harga LNG umumnya dibentuk lewat indeksasi: formula</w:t>
      </w:r>
      <w:r>
        <w:t xml:space="preserve"> </w:t>
      </w:r>
      <w:r>
        <w:rPr>
          <w:i/>
          <w:iCs/>
        </w:rPr>
        <w:t xml:space="preserve">slope</w:t>
      </w:r>
      <w:r>
        <w:t xml:space="preserve"> </w:t>
      </w:r>
      <w:r>
        <w:t xml:space="preserve">terhadap acuan minyak seperti Brent atau</w:t>
      </w:r>
      <w:r>
        <w:t xml:space="preserve"> </w:t>
      </w:r>
      <w:r>
        <w:rPr>
          <w:i/>
          <w:iCs/>
        </w:rPr>
        <w:t xml:space="preserve">Japan Crude Cocktail</w:t>
      </w:r>
      <w:r>
        <w:t xml:space="preserve"> </w:t>
      </w:r>
      <w:r>
        <w:t xml:space="preserve">(JCC), atau mengikuti harga spot Asia</w:t>
      </w:r>
      <w:r>
        <w:t xml:space="preserve"> </w:t>
      </w:r>
      <w:r>
        <w:rPr>
          <w:i/>
          <w:iCs/>
        </w:rPr>
        <w:t xml:space="preserve">Japan Korea Marker</w:t>
      </w:r>
      <w:r>
        <w:t xml:space="preserve"> </w:t>
      </w:r>
      <w:r>
        <w:t xml:space="preserve">(JKM). Di Indonesia, salah satu rujukannya adalah</w:t>
      </w:r>
      <w:r>
        <w:t xml:space="preserve"> </w:t>
      </w:r>
      <w:r>
        <w:rPr>
          <w:i/>
          <w:iCs/>
        </w:rPr>
        <w:t xml:space="preserve">Indonesian Crude Price</w:t>
      </w:r>
      <w:r>
        <w:t xml:space="preserve"> </w:t>
      </w:r>
      <w:r>
        <w:t xml:space="preserve">(ICP =</w:t>
      </w:r>
      <w:r>
        <w:t xml:space="preserve"> </w:t>
      </w:r>
      <w:r>
        <w:rPr>
          <w:i/>
          <w:iCs/>
        </w:rPr>
        <w:t xml:space="preserve">Dated Brent</w:t>
      </w:r>
      <w:r>
        <w:t xml:space="preserve"> </w:t>
      </w:r>
      <w:r>
        <w:t xml:space="preserve">+ Alpha) yang ditetapkan bulanan oleh Kementerian ESDM.</w:t>
      </w:r>
    </w:p>
    <w:p>
      <w:pPr>
        <w:pStyle w:val="BodyText"/>
      </w:pPr>
      <w:r>
        <w:rPr>
          <w:i/>
          <w:iCs/>
        </w:rPr>
        <w:t xml:space="preserve">Oil-indexed pricing</w:t>
      </w:r>
      <w:r>
        <w:t xml:space="preserve"> </w:t>
      </w:r>
      <w:r>
        <w:t xml:space="preserve">menghitung harga sebagai persentase (disebut</w:t>
      </w:r>
      <w:r>
        <w:t xml:space="preserve"> </w:t>
      </w:r>
      <w:r>
        <w:rPr>
          <w:i/>
          <w:iCs/>
        </w:rPr>
        <w:t xml:space="preserve">slope</w:t>
      </w:r>
      <w:r>
        <w:t xml:space="preserve">) terhadap acuan minyak, warisan era ketika gas belum punya pasar spot sendiri. Pola lain memakai acuan spot: JKM menilai harga kargo LNG spot yang dikirim</w:t>
      </w:r>
      <w:r>
        <w:t xml:space="preserve"> </w:t>
      </w:r>
      <w:r>
        <w:rPr>
          <w:i/>
          <w:iCs/>
        </w:rPr>
        <w:t xml:space="preserve">ex-ship</w:t>
      </w:r>
      <w:r>
        <w:t xml:space="preserve"> </w:t>
      </w:r>
      <w:r>
        <w:t xml:space="preserve">ke Jepang, Korea, Tiongkok, dan Taiwan, dipublikasikan harian oleh</w:t>
      </w:r>
      <w:r>
        <w:t xml:space="preserve"> </w:t>
      </w:r>
      <w:hyperlink r:id="rId21">
        <w:r>
          <w:rPr>
            <w:rStyle w:val="Hyperlink"/>
          </w:rPr>
          <w:t xml:space="preserve">S&amp;P Global Platts</w:t>
        </w:r>
      </w:hyperlink>
      <w:r>
        <w:t xml:space="preserve"> </w:t>
      </w:r>
      <w:r>
        <w:t xml:space="preserve">sejak Februari 2009, dan kini sejajar dengan</w:t>
      </w:r>
      <w:r>
        <w:t xml:space="preserve"> </w:t>
      </w:r>
      <w:r>
        <w:rPr>
          <w:i/>
          <w:iCs/>
        </w:rPr>
        <w:t xml:space="preserve">Henry Hub</w:t>
      </w:r>
      <w:r>
        <w:t xml:space="preserve"> </w:t>
      </w:r>
      <w:r>
        <w:t xml:space="preserve">(AS) serta TTF (Eropa). Bagi pembeli, yang krusial bukan angka awal, melainkan besar eksposur terhadap gejolak pasar dan ada-tidaknya batas atas (</w:t>
      </w:r>
      <w:r>
        <w:rPr>
          <w:i/>
          <w:iCs/>
        </w:rPr>
        <w:t xml:space="preserve">cap</w:t>
      </w:r>
      <w:r>
        <w:t xml:space="preserve">) yang melindungi saat pasar memanas.</w:t>
      </w:r>
    </w:p>
    <w:bookmarkEnd w:id="22"/>
    <w:bookmarkStart w:id="25" w:name="X458e7913c321657e3d2bfa7dd44eca9ea2a1de4"/>
    <w:p>
      <w:pPr>
        <w:pStyle w:val="Heading2"/>
      </w:pPr>
      <w:r>
        <w:t xml:space="preserve">HGBT dan Peta Harga Gas Industri di Indonesia</w:t>
      </w:r>
    </w:p>
    <w:p>
      <w:pPr>
        <w:pStyle w:val="FirstParagraph"/>
      </w:pPr>
      <w:r>
        <w:t xml:space="preserve">Di Indonesia, dua rezim harga gas industri berjalan paralel dan sering keliru disamakan. HGBT (Harga Gas Bumi Tertentu) menetapkan US$7/MMBTU untuk pemanfaatan sebagai bahan bakar dan US$6,5 untuk bahan baku bagi tujuh sektor melalui gas pipa. Terpisah dari itu, harga LNG non-HGBT baru dipangkas ke US$13/MMBTU untuk segmen industri tertentu di Jawa.</w:t>
      </w:r>
    </w:p>
    <w:p>
      <w:pPr>
        <w:pStyle w:val="BodyText"/>
      </w:pPr>
      <w:r>
        <w:t xml:space="preserve">HGBT berlaku bagi tujuh sektor (pupuk, petrokimia, oleokimia, baja, keramik, kaca, dan sarung tangan karet), total 253 pengguna terdaftar, berdasarkan Kepmen ESDM No. 76.K/2025 (</w:t>
      </w:r>
      <w:hyperlink r:id="rId23">
        <w:r>
          <w:rPr>
            <w:rStyle w:val="Hyperlink"/>
          </w:rPr>
          <w:t xml:space="preserve">Kementerian ESDM, Februari 2025</w:t>
        </w:r>
      </w:hyperlink>
      <w:r>
        <w:t xml:space="preserve">), dan menyasar gas via pipa di titik serah</w:t>
      </w:r>
      <w:r>
        <w:t xml:space="preserve"> </w:t>
      </w:r>
      <w:r>
        <w:rPr>
          <w:i/>
          <w:iCs/>
        </w:rPr>
        <w:t xml:space="preserve">plant gate</w:t>
      </w:r>
      <w:r>
        <w:t xml:space="preserve">. Pada 29 Juni 2026, pemerintah memangkas harga LNG non-HGBT untuk industri di Jawa Barat, Banten, dan DKI Jakarta menjadi US$13/MMBTU, turun dari kisaran US$20–23 sebelumnya (</w:t>
      </w:r>
      <w:hyperlink r:id="rId24">
        <w:r>
          <w:rPr>
            <w:rStyle w:val="Hyperlink"/>
          </w:rPr>
          <w:t xml:space="preserve">Kementerian ESDM, 29 Juni 2026</w:t>
        </w:r>
      </w:hyperlink>
      <w:r>
        <w:t xml:space="preserve">).</w:t>
      </w:r>
    </w:p>
    <w:p>
      <w:pPr>
        <w:pStyle w:val="BodyText"/>
      </w:pPr>
      <w:r>
        <w:t xml:space="preserve">Angka US$13 itu kondisional: hanya untuk industri padat karya berorientasi ekspor yang terdampak penurunan pasokan pipa, sementara pembangkit listrik dikecualikan. Kemungkinan besar sasarannya LNG skala besar pengganti pasokan pipa demi menutup defisit lapangan gas Jawa Barat, bukan model LNG</w:t>
      </w:r>
      <w:r>
        <w:t xml:space="preserve"> </w:t>
      </w:r>
      <w:r>
        <w:rPr>
          <w:i/>
          <w:iCs/>
        </w:rPr>
        <w:t xml:space="preserve">beyond-pipeline</w:t>
      </w:r>
      <w:r>
        <w:t xml:space="preserve"> </w:t>
      </w:r>
      <w:r>
        <w:t xml:space="preserve">skala kecil. Jadi perlakukan US$13/MMBTU sebagai konteks pasar bertanggal, bukan</w:t>
      </w:r>
      <w:r>
        <w:t xml:space="preserve"> </w:t>
      </w:r>
      <w:r>
        <w:t xml:space="preserve">“harga LNG nasional”</w:t>
      </w:r>
      <w:r>
        <w:t xml:space="preserve"> </w:t>
      </w:r>
      <w:r>
        <w:t xml:space="preserve">apalagi harga satu penyedia tertentu.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Kategori</w:t>
            </w:r>
          </w:p>
        </w:tc>
        <w:tc>
          <w:tcPr/>
          <w:p>
            <w:pPr>
              <w:pStyle w:val="Compact"/>
            </w:pPr>
            <w:r>
              <w:t xml:space="preserve">US$/MMBTU</w:t>
            </w:r>
          </w:p>
        </w:tc>
        <w:tc>
          <w:tcPr/>
          <w:p>
            <w:pPr>
              <w:pStyle w:val="Compact"/>
            </w:pPr>
            <w:r>
              <w:t xml:space="preserve">Cakupan</w:t>
            </w:r>
          </w:p>
        </w:tc>
        <w:tc>
          <w:tcPr/>
          <w:p>
            <w:pPr>
              <w:pStyle w:val="Compact"/>
            </w:pPr>
            <w:r>
              <w:t xml:space="preserve">Sumber &amp; tanggal</w:t>
            </w:r>
          </w:p>
        </w:tc>
      </w:tr>
      <w:tr>
        <w:tc>
          <w:tcPr/>
          <w:p>
            <w:pPr>
              <w:pStyle w:val="Compact"/>
            </w:pPr>
            <w:r>
              <w:t xml:space="preserve">HGBT (bahan baku)</w:t>
            </w:r>
          </w:p>
        </w:tc>
        <w:tc>
          <w:tcPr/>
          <w:p>
            <w:pPr>
              <w:pStyle w:val="Compact"/>
            </w:pPr>
            <w:r>
              <w:t xml:space="preserve">6,5</w:t>
            </w:r>
          </w:p>
        </w:tc>
        <w:tc>
          <w:tcPr/>
          <w:p>
            <w:pPr>
              <w:pStyle w:val="Compact"/>
            </w:pPr>
            <w:r>
              <w:t xml:space="preserve">7 sektor industri, gas pipa</w:t>
            </w:r>
            <w:r>
              <w:t xml:space="preserve"> </w:t>
            </w:r>
            <w:r>
              <w:rPr>
                <w:i/>
                <w:iCs/>
              </w:rPr>
              <w:t xml:space="preserve">plant gate</w:t>
            </w:r>
          </w:p>
        </w:tc>
        <w:tc>
          <w:tcPr/>
          <w:p>
            <w:pPr>
              <w:pStyle w:val="Compact"/>
            </w:pPr>
            <w:r>
              <w:t xml:space="preserve">ESDM, Kepmen 76.K/2025 (Feb 2025)</w:t>
            </w:r>
          </w:p>
        </w:tc>
      </w:tr>
      <w:tr>
        <w:tc>
          <w:tcPr/>
          <w:p>
            <w:pPr>
              <w:pStyle w:val="Compact"/>
            </w:pPr>
            <w:r>
              <w:t xml:space="preserve">HGBT (bahan bakar)</w:t>
            </w:r>
          </w:p>
        </w:tc>
        <w:tc>
          <w:tcPr/>
          <w:p>
            <w:pPr>
              <w:pStyle w:val="Compact"/>
            </w:pPr>
            <w:r>
              <w:t xml:space="preserve">7,0</w:t>
            </w:r>
          </w:p>
        </w:tc>
        <w:tc>
          <w:tcPr/>
          <w:p>
            <w:pPr>
              <w:pStyle w:val="Compact"/>
            </w:pPr>
            <w:r>
              <w:t xml:space="preserve">sama</w:t>
            </w:r>
          </w:p>
        </w:tc>
        <w:tc>
          <w:tcPr/>
          <w:p>
            <w:pPr>
              <w:pStyle w:val="Compact"/>
            </w:pPr>
            <w:r>
              <w:t xml:space="preserve">sama</w:t>
            </w:r>
          </w:p>
        </w:tc>
      </w:tr>
      <w:tr>
        <w:tc>
          <w:tcPr/>
          <w:p>
            <w:pPr>
              <w:pStyle w:val="Compact"/>
            </w:pPr>
            <w:r>
              <w:t xml:space="preserve">Gas pipa non-HGBT (Jabar)</w:t>
            </w:r>
          </w:p>
        </w:tc>
        <w:tc>
          <w:tcPr/>
          <w:p>
            <w:pPr>
              <w:pStyle w:val="Compact"/>
            </w:pPr>
            <w:r>
              <w:t xml:space="preserve">9,6</w:t>
            </w:r>
          </w:p>
        </w:tc>
        <w:tc>
          <w:tcPr/>
          <w:p>
            <w:pPr>
              <w:pStyle w:val="Compact"/>
            </w:pPr>
            <w:r>
              <w:t xml:space="preserve">Industri umum di luar HGBT, via pipa</w:t>
            </w:r>
          </w:p>
        </w:tc>
        <w:tc>
          <w:tcPr/>
          <w:p>
            <w:pPr>
              <w:pStyle w:val="Compact"/>
            </w:pPr>
            <w:r>
              <w:t xml:space="preserve">ESDM/Kontan, Jun 2026</w:t>
            </w:r>
          </w:p>
        </w:tc>
      </w:tr>
      <w:tr>
        <w:tc>
          <w:tcPr/>
          <w:p>
            <w:pPr>
              <w:pStyle w:val="Compact"/>
            </w:pPr>
            <w:r>
              <w:t xml:space="preserve">LNG non-HGBT (Jabar/Banten/DKI)</w:t>
            </w:r>
          </w:p>
        </w:tc>
        <w:tc>
          <w:tcPr/>
          <w:p>
            <w:pPr>
              <w:pStyle w:val="Compact"/>
            </w:pPr>
            <w:r>
              <w:t xml:space="preserve">13,0 (dari ~20,57)</w:t>
            </w:r>
          </w:p>
        </w:tc>
        <w:tc>
          <w:tcPr/>
          <w:p>
            <w:pPr>
              <w:pStyle w:val="Compact"/>
            </w:pPr>
            <w:r>
              <w:t xml:space="preserve">Industri terdampak defisit pasokan pipa; PLTU dikecualikan</w:t>
            </w:r>
          </w:p>
        </w:tc>
        <w:tc>
          <w:tcPr/>
          <w:p>
            <w:pPr>
              <w:pStyle w:val="Compact"/>
            </w:pPr>
            <w:r>
              <w:t xml:space="preserve">ESDM/CNBC/Kontan, Jun 2026</w:t>
            </w:r>
          </w:p>
        </w:tc>
      </w:tr>
    </w:tbl>
    <w:p>
      <w:pPr>
        <w:pStyle w:val="BodyText"/>
      </w:pPr>
      <w:r>
        <w:rPr>
          <w:i/>
          <w:iCs/>
        </w:rPr>
        <w:t xml:space="preserve">[Image 02: Infografik bar-chart</w:t>
      </w:r>
      <w:r>
        <w:rPr>
          <w:i/>
          <w:iCs/>
        </w:rPr>
        <w:t xml:space="preserve"> </w:t>
      </w:r>
      <w:r>
        <w:rPr>
          <w:i/>
          <w:iCs/>
        </w:rPr>
        <w:t xml:space="preserve">“Perbandingan Harga Gas Industri Indonesia, Juni 2026”</w:t>
      </w:r>
      <w:r>
        <w:rPr>
          <w:i/>
          <w:iCs/>
        </w:rPr>
        <w:t xml:space="preserve">: empat batang — HGBT bahan baku US$6,5; HGBT bahan bakar US$7; gas pipa non-HGBT US$9,6; LNG non-HGBT US$13 (turun dari ~US$20,57), semua per MMBTU. Catatan kecil bahwa harga LNG bersifat kondisional. Palet biru-hijau, teks Bahasa Indonesia. Alt:</w:t>
      </w:r>
      <w:r>
        <w:rPr>
          <w:i/>
          <w:iCs/>
        </w:rPr>
        <w:t xml:space="preserve"> </w:t>
      </w:r>
      <w:r>
        <w:rPr>
          <w:i/>
          <w:iCs/>
        </w:rPr>
        <w:t xml:space="preserve">“Perbandingan harga gas industri Indonesia Juni 2026”</w:t>
      </w:r>
      <w:r>
        <w:rPr>
          <w:i/>
          <w:iCs/>
        </w:rPr>
        <w:t xml:space="preserve">.]</w:t>
      </w:r>
    </w:p>
    <w:bookmarkEnd w:id="25"/>
    <w:bookmarkStart w:id="27" w:name="jebakan-kontrak-yang-sering-terlewat"/>
    <w:p>
      <w:pPr>
        <w:pStyle w:val="Heading2"/>
      </w:pPr>
      <w:r>
        <w:t xml:space="preserve">Jebakan Kontrak yang Sering Terlewat</w:t>
      </w:r>
    </w:p>
    <w:p>
      <w:pPr>
        <w:pStyle w:val="FirstParagraph"/>
      </w:pPr>
      <w:r>
        <w:t xml:space="preserve">Jebakan paling mahal biasanya bukan harga per MMBTU, melainkan struktur di sekelilingnya: komitmen volume yang kaku, indeksasi tanpa pelindung, dan pembagian risiko teknis yang kabur. Bagian ini jarang dibedah, padahal di sinilah kontrak yang tampak murah bisa berubah mahal saat kondisi operasi berubah.</w:t>
      </w:r>
    </w:p>
    <w:p>
      <w:pPr>
        <w:pStyle w:val="Compact"/>
        <w:numPr>
          <w:ilvl w:val="0"/>
          <w:numId w:val="1002"/>
        </w:numPr>
      </w:pPr>
      <w:r>
        <w:rPr>
          <w:b/>
          <w:bCs/>
        </w:rPr>
        <w:t xml:space="preserve">Mengejar harga termurah tanpa fleksibilitas volume.</w:t>
      </w:r>
      <w:r>
        <w:t xml:space="preserve"> </w:t>
      </w:r>
      <w:r>
        <w:t xml:space="preserve">Diskon kecil per MMBTU tak sepadan bila Anda terkunci membayar volume yang tak terpakai.</w:t>
      </w:r>
    </w:p>
    <w:p>
      <w:pPr>
        <w:pStyle w:val="Compact"/>
        <w:numPr>
          <w:ilvl w:val="0"/>
          <w:numId w:val="1002"/>
        </w:numPr>
      </w:pPr>
      <w:r>
        <w:rPr>
          <w:b/>
          <w:bCs/>
        </w:rPr>
        <w:t xml:space="preserve">Take-or-pay lebih tinggi dari beban dasar musiman.</w:t>
      </w:r>
      <w:r>
        <w:t xml:space="preserve"> </w:t>
      </w:r>
      <w:r>
        <w:t xml:space="preserve">Bila konsumsi naik-turun tajam, patok ToP di kebutuhan minimum yang pasti, bukan di puncaknya.</w:t>
      </w:r>
    </w:p>
    <w:p>
      <w:pPr>
        <w:pStyle w:val="Compact"/>
        <w:numPr>
          <w:ilvl w:val="0"/>
          <w:numId w:val="1002"/>
        </w:numPr>
      </w:pPr>
      <w:r>
        <w:rPr>
          <w:b/>
          <w:bCs/>
        </w:rPr>
        <w:t xml:space="preserve">Indeksasi tanpa batas atas.</w:t>
      </w:r>
      <w:r>
        <w:t xml:space="preserve"> </w:t>
      </w:r>
      <w:r>
        <w:t xml:space="preserve">Tanpa</w:t>
      </w:r>
      <w:r>
        <w:t xml:space="preserve"> </w:t>
      </w:r>
      <w:r>
        <w:rPr>
          <w:i/>
          <w:iCs/>
        </w:rPr>
        <w:t xml:space="preserve">cap</w:t>
      </w:r>
      <w:r>
        <w:t xml:space="preserve"> </w:t>
      </w:r>
      <w:r>
        <w:t xml:space="preserve">atau</w:t>
      </w:r>
      <w:r>
        <w:t xml:space="preserve"> </w:t>
      </w:r>
      <w:r>
        <w:rPr>
          <w:i/>
          <w:iCs/>
        </w:rPr>
        <w:t xml:space="preserve">collar</w:t>
      </w:r>
      <w:r>
        <w:t xml:space="preserve">, anggaran energi rentan saat harga minyak dunia melonjak.</w:t>
      </w:r>
    </w:p>
    <w:p>
      <w:pPr>
        <w:pStyle w:val="Compact"/>
        <w:numPr>
          <w:ilvl w:val="0"/>
          <w:numId w:val="1002"/>
        </w:numPr>
      </w:pPr>
      <w:r>
        <w:rPr>
          <w:b/>
          <w:bCs/>
        </w:rPr>
        <w:t xml:space="preserve">BOG dan losses yang tak jelas pembagiannya.</w:t>
      </w:r>
      <w:r>
        <w:t xml:space="preserve"> </w:t>
      </w:r>
      <w:r>
        <w:t xml:space="preserve">Tegaskan ambang</w:t>
      </w:r>
      <w:r>
        <w:t xml:space="preserve"> </w:t>
      </w:r>
      <w:r>
        <w:rPr>
          <w:i/>
          <w:iCs/>
        </w:rPr>
        <w:t xml:space="preserve">BOG allowance</w:t>
      </w:r>
      <w:r>
        <w:t xml:space="preserve"> </w:t>
      </w:r>
      <w:r>
        <w:t xml:space="preserve">dan penanggung kelebihannya sebelum tanda tangan, bukan sesudah.</w:t>
      </w:r>
    </w:p>
    <w:p>
      <w:pPr>
        <w:pStyle w:val="FirstParagraph"/>
      </w:pPr>
      <w:r>
        <w:t xml:space="preserve">Untuk pasokan</w:t>
      </w:r>
      <w:r>
        <w:t xml:space="preserve"> </w:t>
      </w:r>
      <w:r>
        <w:rPr>
          <w:i/>
          <w:iCs/>
        </w:rPr>
        <w:t xml:space="preserve">beyond-pipeline</w:t>
      </w:r>
      <w:r>
        <w:t xml:space="preserve">, transparansi volume jadi kunci: pastikan penyalur menyediakan perhitungan pemakaian yang akurat. Layanan CNG berkontrak seperti</w:t>
      </w:r>
      <w:r>
        <w:t xml:space="preserve"> </w:t>
      </w:r>
      <w:hyperlink r:id="rId26">
        <w:r>
          <w:rPr>
            <w:rStyle w:val="Hyperlink"/>
          </w:rPr>
          <w:t xml:space="preserve">Gaslink</w:t>
        </w:r>
      </w:hyperlink>
      <w:r>
        <w:t xml:space="preserve"> </w:t>
      </w:r>
      <w:r>
        <w:t xml:space="preserve">untuk industri dan komersial adalah contoh model pasokan dengan komitmen volume dan SLA yang bisa ditelaah dengan kerangka serupa kontrak LNG.</w:t>
      </w:r>
    </w:p>
    <w:p>
      <w:pPr>
        <w:pStyle w:val="BodyText"/>
      </w:pPr>
      <w:r>
        <w:rPr>
          <w:i/>
          <w:iCs/>
        </w:rPr>
        <w:t xml:space="preserve">[Image 03: Peta rantai pasok LNG hulu-ke-hilir: timeline horizontal Lapangan Gas → Likuifaksi → Pengapalan (label DES/FOB) → Regasifikasi FSRU, dengan jalur paralel LNG Hub skala kecil menuju pelanggan beyond-pipeline (horeka, industri). Kotak</w:t>
      </w:r>
      <w:r>
        <w:rPr>
          <w:i/>
          <w:iCs/>
        </w:rPr>
        <w:t xml:space="preserve"> </w:t>
      </w:r>
      <w:r>
        <w:rPr>
          <w:i/>
          <w:iCs/>
        </w:rPr>
        <w:t xml:space="preserve">“LNG Hub”</w:t>
      </w:r>
      <w:r>
        <w:rPr>
          <w:i/>
          <w:iCs/>
        </w:rPr>
        <w:t xml:space="preserve"> </w:t>
      </w:r>
      <w:r>
        <w:rPr>
          <w:i/>
          <w:iCs/>
        </w:rPr>
        <w:t xml:space="preserve">ditempatkan di ujung hilir/distribusi, terpisah visual dari kotak likuifaksi/FSRU besar. Gaya korporat biru-hijau, teks Bahasa Indonesia. Alt:</w:t>
      </w:r>
      <w:r>
        <w:rPr>
          <w:i/>
          <w:iCs/>
        </w:rPr>
        <w:t xml:space="preserve"> </w:t>
      </w:r>
      <w:r>
        <w:rPr>
          <w:i/>
          <w:iCs/>
        </w:rPr>
        <w:t xml:space="preserve">“Rantai pasok LNG dari hulu ke hilir dan posisi LNG Hub”</w:t>
      </w:r>
      <w:r>
        <w:rPr>
          <w:i/>
          <w:iCs/>
        </w:rPr>
        <w:t xml:space="preserve">.]</w:t>
      </w:r>
    </w:p>
    <w:bookmarkEnd w:id="27"/>
    <w:bookmarkStart w:id="33" w:name="faq-pertanyaan-yang-sering-diajukan"/>
    <w:p>
      <w:pPr>
        <w:pStyle w:val="Heading2"/>
      </w:pPr>
      <w:r>
        <w:t xml:space="preserve">FAQ (Pertanyaan yang Sering Diajukan)</w:t>
      </w:r>
    </w:p>
    <w:bookmarkStart w:id="28" w:name="X76d7845892ffae86ed7d2ea23dfa37ab48599ae"/>
    <w:p>
      <w:pPr>
        <w:pStyle w:val="Heading3"/>
      </w:pPr>
      <w:r>
        <w:t xml:space="preserve">Apa itu klausul take-or-pay dalam kontrak gas?</w:t>
      </w:r>
    </w:p>
    <w:p>
      <w:pPr>
        <w:pStyle w:val="FirstParagraph"/>
      </w:pPr>
      <w:r>
        <w:t xml:space="preserve">Take-or-pay adalah klausul yang mewajibkan pembeli membayar volume minimum yang disepakati (berbasis ACQ) meski tak sepenuhnya diambil, sebagai jaminan pendapatan bagi penjual. Ambang persentasenya dinegosiasikan per kontrak; dalam praktik industri LNG global sering dikutip 70–95% dari ACQ, bukan angka yang dipatok regulasi Indonesia.</w:t>
      </w:r>
    </w:p>
    <w:bookmarkEnd w:id="28"/>
    <w:bookmarkStart w:id="29" w:name="mengapa-harga-lng-mengikuti-harga-minyak"/>
    <w:p>
      <w:pPr>
        <w:pStyle w:val="Heading3"/>
      </w:pPr>
      <w:r>
        <w:t xml:space="preserve">Mengapa harga LNG mengikuti harga minyak?</w:t>
      </w:r>
    </w:p>
    <w:p>
      <w:pPr>
        <w:pStyle w:val="FirstParagraph"/>
      </w:pPr>
      <w:r>
        <w:t xml:space="preserve">Sebagian besar kontrak LNG jangka panjang secara historis dirancang</w:t>
      </w:r>
      <w:r>
        <w:t xml:space="preserve"> </w:t>
      </w:r>
      <w:r>
        <w:rPr>
          <w:i/>
          <w:iCs/>
        </w:rPr>
        <w:t xml:space="preserve">oil-indexed</w:t>
      </w:r>
      <w:r>
        <w:t xml:space="preserve">, warisan era ketika gas belum punya pasar spot likuid sendiri, sehingga harga minyak dipakai sebagai proksi nilai energi. Kenaikan Brent atau Japan Crude Cocktail mendorong naik formula harga LNG maupun ICP yang jadi acuan energi domestik.</w:t>
      </w:r>
    </w:p>
    <w:bookmarkEnd w:id="29"/>
    <w:bookmarkStart w:id="30" w:name="X5a9b473b91dff8638e980f3114bd081d659554f"/>
    <w:p>
      <w:pPr>
        <w:pStyle w:val="Heading3"/>
      </w:pPr>
      <w:r>
        <w:t xml:space="preserve">Apa itu HGBT dan apakah berlaku untuk pembeli LNG beyond-pipeline?</w:t>
      </w:r>
    </w:p>
    <w:p>
      <w:pPr>
        <w:pStyle w:val="FirstParagraph"/>
      </w:pPr>
      <w:r>
        <w:t xml:space="preserve">HGBT (Harga Gas Bumi Tertentu) mematok US$7/MMBTU untuk bahan bakar dan US$6,5 untuk bahan baku bagi tujuh sektor industri, mencakup 253 pengguna terdaftar. Skema ini berfokus pada gas pipa di</w:t>
      </w:r>
      <w:r>
        <w:t xml:space="preserve"> </w:t>
      </w:r>
      <w:r>
        <w:rPr>
          <w:i/>
          <w:iCs/>
        </w:rPr>
        <w:t xml:space="preserve">plant gate</w:t>
      </w:r>
      <w:r>
        <w:t xml:space="preserve">; cakupannya ke LNG/CNG beyond-pipeline tak dinyatakan eksplisit, jadi konfirmasikan kelayakan langsung ke ESDM atau penyalur gas.</w:t>
      </w:r>
    </w:p>
    <w:bookmarkEnd w:id="30"/>
    <w:bookmarkStart w:id="31" w:name="apa-perbedaan-pengiriman-lng-des-dan-fob"/>
    <w:p>
      <w:pPr>
        <w:pStyle w:val="Heading3"/>
      </w:pPr>
      <w:r>
        <w:t xml:space="preserve">Apa perbedaan pengiriman LNG DES dan FOB?</w:t>
      </w:r>
    </w:p>
    <w:p>
      <w:pPr>
        <w:pStyle w:val="FirstParagraph"/>
      </w:pPr>
      <w:r>
        <w:t xml:space="preserve">Dalam skema DES (</w:t>
      </w:r>
      <w:r>
        <w:rPr>
          <w:i/>
          <w:iCs/>
        </w:rPr>
        <w:t xml:space="preserve">Delivered Ex Ship</w:t>
      </w:r>
      <w:r>
        <w:t xml:space="preserve">), penjual menanggung biaya dan risiko pengapalan sampai kargo tiba di pelabuhan tujuan. Dalam FOB (</w:t>
      </w:r>
      <w:r>
        <w:rPr>
          <w:i/>
          <w:iCs/>
        </w:rPr>
        <w:t xml:space="preserve">Free on Board</w:t>
      </w:r>
      <w:r>
        <w:t xml:space="preserve">), risiko berpindah ke pembeli saat LNG dimuat di pelabuhan asal, memberi fleksibilitas menjual-alih kargo. Sejak Incoterms 2011, DES banyak digantikan DAP secara resmi.</w:t>
      </w:r>
    </w:p>
    <w:bookmarkEnd w:id="31"/>
    <w:bookmarkStart w:id="32" w:name="X4149ac12b6f9d5eae0b51134ceaeaa60e12867d"/>
    <w:p>
      <w:pPr>
        <w:pStyle w:val="Heading3"/>
      </w:pPr>
      <w:r>
        <w:t xml:space="preserve">Siapa yang menanggung boil-off gas dalam kontrak LNG?</w:t>
      </w:r>
    </w:p>
    <w:p>
      <w:pPr>
        <w:pStyle w:val="FirstParagraph"/>
      </w:pPr>
      <w:r>
        <w:t xml:space="preserve">Boil-off gas (BOG) adalah gas yang menguap alami dari LNG cair akibat panas yang masuk ke tangki kriogenik selama simpan dan angkut, bukan cacat pasokan. Kontrak menetapkan batas toleransi (</w:t>
      </w:r>
      <w:r>
        <w:rPr>
          <w:i/>
          <w:iCs/>
        </w:rPr>
        <w:t xml:space="preserve">BOG allowance</w:t>
      </w:r>
      <w:r>
        <w:t xml:space="preserve">); penguapan di atas ambang umumnya dibebankan sebagai biaya tambahan sesuai klausul spesifik.</w:t>
      </w:r>
    </w:p>
    <w:bookmarkEnd w:id="32"/>
    <w:bookmarkEnd w:id="33"/>
    <w:bookmarkStart w:id="34" w:name="kesimpulan"/>
    <w:p>
      <w:pPr>
        <w:pStyle w:val="Heading2"/>
      </w:pPr>
      <w:r>
        <w:t xml:space="preserve">Kesimpulan</w:t>
      </w:r>
    </w:p>
    <w:p>
      <w:pPr>
        <w:pStyle w:val="FirstParagraph"/>
      </w:pPr>
      <w:r>
        <w:t xml:space="preserve">Membaca kontrak LNG bukan soal mengejar harga terendah, melainkan menakar kecocokan antara komitmen volume, fleksibilitas, dan eksposur harga dengan profil pemakaian riil Anda. Take-or-pay yang kelewat tinggi, indeksasi tanpa batas, atau BOG yang kabur pembagiannya bisa lebih mahal daripada selisih per MMBTU. Di antara perusahaan LNG Indonesia yang layak dipertimbangkan, PGN Gagas, anak usaha PGN dalam Subholding Gas Pertamina, menyalurkan gas bumi ke lokasi di luar jaringan pipa lewat solusi CNG dan pengelolaan LNG Hub, dengan layanan 24 jam serta perhitungan pemakaian yang akurat. Mulailah dari asesmen kebutuhan, bukan dari harga.</w:t>
      </w:r>
    </w:p>
    <w:p>
      <w:pPr>
        <w:pStyle w:val="BodyText"/>
      </w:pPr>
      <w:r>
        <w:t xml:space="preserve">Untuk mendiskusikan struktur pasokan gas bumi yang paling pas bagi operasi pabrik atau usaha Anda, jelajahi pilihan solusinya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6"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4" Target="https://www.esdm.go.id/id/media-center/arsip-berita/selamatkan-industri-menteri-esdm-turunkan-harga-lng-industri" TargetMode="External" /><Relationship Type="http://schemas.openxmlformats.org/officeDocument/2006/relationships/hyperlink" Id="rId23" Target="https://www.esdm.go.id/id/media-center/arsip-berita/skema-baru-hgbt-perkuat-daya-saing-industri-dan-efisiensi-anggaran-negara" TargetMode="External" /><Relationship Type="http://schemas.openxmlformats.org/officeDocument/2006/relationships/hyperlink" Id="rId21" Target="https://www.spglobal.com/energy/en/pricing-benchmarks/assessments/lng/jkm-japan-korea-marker-gas-price-explained" TargetMode="External" /></Relationships>
</file>

<file path=word/_rels/footnotes.xml.rels><?xml version="1.0" encoding="UTF-8"?><Relationships xmlns="http://schemas.openxmlformats.org/package/2006/relationships"><Relationship Type="http://schemas.openxmlformats.org/officeDocument/2006/relationships/hyperlink" Id="rId26"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4" Target="https://www.esdm.go.id/id/media-center/arsip-berita/selamatkan-industri-menteri-esdm-turunkan-harga-lng-industri" TargetMode="External" /><Relationship Type="http://schemas.openxmlformats.org/officeDocument/2006/relationships/hyperlink" Id="rId23" Target="https://www.esdm.go.id/id/media-center/arsip-berita/skema-baru-hgbt-perkuat-daya-saing-industri-dan-efisiensi-anggaran-negara" TargetMode="External" /><Relationship Type="http://schemas.openxmlformats.org/officeDocument/2006/relationships/hyperlink" Id="rId21" Target="https://www.spglobal.com/energy/en/pricing-benchmarks/assessments/lng/jkm-japan-korea-marker-gas-price-explain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2026-08-11T07:59:21Z</dcterms:created>
  <dcterms:modified xsi:type="dcterms:W3CDTF">2026-08-11T07:59:21Z</dcterms:modified>
</cp:coreProperties>
</file>

<file path=docProps/custom.xml><?xml version="1.0" encoding="utf-8"?>
<Properties xmlns="http://schemas.openxmlformats.org/officeDocument/2006/custom-properties" xmlns:vt="http://schemas.openxmlformats.org/officeDocument/2006/docPropsVTypes"/>
</file>