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vs Pipa Gas: Ekonomi di Balik Infrastruktur Energi"</w:t>
      </w:r>
      <w:r>
        <w:br/>
      </w:r>
      <w:r>
        <w:rPr>
          <w:rStyle w:val="FunctionTok"/>
        </w:rPr>
        <w:t xml:space="preserve">meta_title</w:t>
      </w:r>
      <w:r>
        <w:rPr>
          <w:rStyle w:val="KeywordTok"/>
        </w:rPr>
        <w:t xml:space="preserve">:</w:t>
      </w:r>
      <w:r>
        <w:rPr>
          <w:rStyle w:val="AttributeTok"/>
        </w:rPr>
        <w:t xml:space="preserve"> </w:t>
      </w:r>
      <w:r>
        <w:rPr>
          <w:rStyle w:val="StringTok"/>
        </w:rPr>
        <w:t xml:space="preserve">"CNG vs Pipa Gas: Ekonomi Infrastruktur Energi"</w:t>
      </w:r>
      <w:r>
        <w:br/>
      </w:r>
      <w:r>
        <w:rPr>
          <w:rStyle w:val="FunctionTok"/>
        </w:rPr>
        <w:t xml:space="preserve">meta_description</w:t>
      </w:r>
      <w:r>
        <w:rPr>
          <w:rStyle w:val="KeywordTok"/>
        </w:rPr>
        <w:t xml:space="preserve">:</w:t>
      </w:r>
      <w:r>
        <w:rPr>
          <w:rStyle w:val="AttributeTok"/>
        </w:rPr>
        <w:t xml:space="preserve"> </w:t>
      </w:r>
      <w:r>
        <w:rPr>
          <w:rStyle w:val="StringTok"/>
        </w:rPr>
        <w:t xml:space="preserve">"CNG Indonesia vs pipa gas: bedah ekonomi capex, opex, dan titik impas jarak-volume. Kapan virtual pipeline CNG lebih hemat, kapan pipa tetap unggul."</w:t>
      </w:r>
      <w:r>
        <w:br/>
      </w:r>
      <w:r>
        <w:rPr>
          <w:rStyle w:val="FunctionTok"/>
        </w:rPr>
        <w:t xml:space="preserve">slug</w:t>
      </w:r>
      <w:r>
        <w:rPr>
          <w:rStyle w:val="KeywordTok"/>
        </w:rPr>
        <w:t xml:space="preserve">:</w:t>
      </w:r>
      <w:r>
        <w:rPr>
          <w:rStyle w:val="AttributeTok"/>
        </w:rPr>
        <w:t xml:space="preserve"> </w:t>
      </w:r>
      <w:r>
        <w:rPr>
          <w:rStyle w:val="StringTok"/>
        </w:rPr>
        <w:t xml:space="preserve">"cng-vs-pipa-gas-ekonomi-infrastruktur"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"virtual pipeline CNG"</w:t>
      </w:r>
      <w:r>
        <w:rPr>
          <w:rStyle w:val="KeywordTok"/>
        </w:rPr>
        <w:t xml:space="preserve">,</w:t>
      </w:r>
      <w:r>
        <w:rPr>
          <w:rStyle w:val="AttributeTok"/>
        </w:rPr>
        <w:t xml:space="preserve"> </w:t>
      </w:r>
      <w:r>
        <w:rPr>
          <w:rStyle w:val="StringTok"/>
        </w:rPr>
        <w:t xml:space="preserve">"pipa gas vs CNG"</w:t>
      </w:r>
      <w:r>
        <w:rPr>
          <w:rStyle w:val="KeywordTok"/>
        </w:rPr>
        <w:t xml:space="preserve">,</w:t>
      </w:r>
      <w:r>
        <w:rPr>
          <w:rStyle w:val="AttributeTok"/>
        </w:rPr>
        <w:t xml:space="preserve"> </w:t>
      </w:r>
      <w:r>
        <w:rPr>
          <w:rStyle w:val="StringTok"/>
        </w:rPr>
        <w:t xml:space="preserve">"biaya infrastruktur gas"</w:t>
      </w:r>
      <w:r>
        <w:rPr>
          <w:rStyle w:val="KeywordTok"/>
        </w:rPr>
        <w:t xml:space="preserve">,</w:t>
      </w:r>
      <w:r>
        <w:rPr>
          <w:rStyle w:val="AttributeTok"/>
        </w:rPr>
        <w:t xml:space="preserve"> </w:t>
      </w:r>
      <w:r>
        <w:rPr>
          <w:rStyle w:val="StringTok"/>
        </w:rPr>
        <w:t xml:space="preserve">"capex pipa gas"</w:t>
      </w:r>
      <w:r>
        <w:rPr>
          <w:rStyle w:val="KeywordTok"/>
        </w:rPr>
        <w:t xml:space="preserve">,</w:t>
      </w:r>
      <w:r>
        <w:rPr>
          <w:rStyle w:val="AttributeTok"/>
        </w:rPr>
        <w:t xml:space="preserve"> </w:t>
      </w:r>
      <w:r>
        <w:rPr>
          <w:rStyle w:val="StringTok"/>
        </w:rPr>
        <w:t xml:space="preserve">"opex distribusi CNG"</w:t>
      </w:r>
      <w:r>
        <w:rPr>
          <w:rStyle w:val="KeywordTok"/>
        </w:rPr>
        <w:t xml:space="preserve">,</w:t>
      </w:r>
      <w:r>
        <w:rPr>
          <w:rStyle w:val="AttributeTok"/>
        </w:rPr>
        <w:t xml:space="preserve"> </w:t>
      </w:r>
      <w:r>
        <w:rPr>
          <w:rStyle w:val="StringTok"/>
        </w:rPr>
        <w:t xml:space="preserve">"Gas Transportation Module"</w:t>
      </w:r>
      <w:r>
        <w:rPr>
          <w:rStyle w:val="KeywordTok"/>
        </w:rPr>
        <w:t xml:space="preserve">,</w:t>
      </w:r>
      <w:r>
        <w:rPr>
          <w:rStyle w:val="AttributeTok"/>
        </w:rPr>
        <w:t xml:space="preserve"> </w:t>
      </w:r>
      <w:r>
        <w:rPr>
          <w:rStyle w:val="StringTok"/>
        </w:rPr>
        <w:t xml:space="preserve">"titik impas jarak volume"</w:t>
      </w:r>
      <w:r>
        <w:rPr>
          <w:rStyle w:val="KeywordTok"/>
        </w:rPr>
        <w:t xml:space="preserve">,</w:t>
      </w:r>
      <w:r>
        <w:rPr>
          <w:rStyle w:val="AttributeTok"/>
        </w:rPr>
        <w:t xml:space="preserve"> </w:t>
      </w:r>
      <w:r>
        <w:rPr>
          <w:rStyle w:val="StringTok"/>
        </w:rPr>
        <w:t xml:space="preserve">"beyond pipeline"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via Gas Transportation Module"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volume besar dan jarak jauh"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"https://www.bphmigas.go.id/bph-migas-dorong-pengoptimalan-jaringan-pipa-gas-bumi-nasional/"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"Panjang jaringan pipa gas bumi nasional ~22.821 km dan dorongan optimalisasi utilisasi"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"https://migas.esdm.go.id/post/dukung-pengembangan-infrastruktur-hilir-gas-bumi-menteri-esdm-tetapkan-rencana-induk-jaringan-transmisi-dan-distribusi-gas-bumi-nasional-rijtdgbn-2022-2031"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"RIJTDGBN 2022–2031: pembagian 6 wilayah, strategi Barat (pipa) vs Timur (LNG/beyond-pipeline)"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"https://www.esdm.go.id/id/media-center/arsip-berita/menteri-esdm-targetkan-pipa-gas-dumai-sei-mangke-rampung-tahun-2027"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"Contoh capex pipa transmisi nasional: Dumai–Sei Mangkei 400 km, Rp6,6 triliun, target 2027"</w:t>
      </w:r>
      <w:r>
        <w:br/>
      </w:r>
      <w:r>
        <w:rPr>
          <w:rStyle w:val="FunctionTok"/>
        </w:rPr>
        <w:t xml:space="preserve">brief_id</w:t>
      </w:r>
      <w:r>
        <w:rPr>
          <w:rStyle w:val="KeywordTok"/>
        </w:rPr>
        <w:t xml:space="preserve">:</w:t>
      </w:r>
      <w:r>
        <w:rPr>
          <w:rStyle w:val="AttributeTok"/>
        </w:rPr>
        <w:t xml:space="preserve"> </w:t>
      </w:r>
      <w:r>
        <w:rPr>
          <w:rStyle w:val="StringTok"/>
        </w:rPr>
        <w:t xml:space="preserve">"cng-indonesia-02"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1550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1494</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p>
    <w:p>
      <w:r>
        <w:pict>
          <v:rect style="width:0;height:1.5pt" o:hralign="center" o:hrstd="t" o:hr="t"/>
        </w:pict>
      </w:r>
    </w:p>
    <w:bookmarkEnd w:id="16"/>
    <w:bookmarkStart w:id="35" w:name="Xfac2296e109799b20a4b79d56b3b7a65bf5356c"/>
    <w:p>
      <w:pPr>
        <w:pStyle w:val="Heading1"/>
      </w:pPr>
      <w:r>
        <w:t xml:space="preserve">CNG vs Pipa Gas: Ekonomi di Balik Infrastruktur Energi</w:t>
      </w:r>
    </w:p>
    <w:p>
      <w:pPr>
        <w:pStyle w:val="FirstParagraph"/>
      </w:pPr>
      <w:r>
        <w:t xml:space="preserve">Seorang manajer pabrik di pesisir Sulawesi menghadapi masalah yang tak muncul di brosur energi: solar terus naik, tapi pipa gas bumi terdekat berjarak ratusan kilometer tanpa rencana dibangun ke lokasinya. Muncul pertanyaan yang jarang dijawab jujur: kalau gas pipa memang paling murah per satuan energi, kenapa tidak semua daerah dibangunkan pipa saja? Artikel ini membedah ekonomi di balik</w:t>
      </w:r>
      <w:r>
        <w:t xml:space="preserve"> </w:t>
      </w:r>
      <w:hyperlink r:id="rId17">
        <w:r>
          <w:rPr>
            <w:rStyle w:val="Hyperlink"/>
          </w:rPr>
          <w:t xml:space="preserve">CNG di Indonesia</w:t>
        </w:r>
      </w:hyperlink>
      <w:r>
        <w:t xml:space="preserve"> </w:t>
      </w:r>
      <w:r>
        <w:t xml:space="preserve">dan pipa gas — berapa biaya sebenarnya tiap model, dan kapan menggelar tabung CNG dengan truk (virtual pipeline) lebih masuk akal daripada menanam pipa. Fokusnya ekonomi infrastruktur: capex, opex, dan titik impas, bukan mekanika teknisnya.</w:t>
      </w:r>
    </w:p>
    <w:p>
      <w:pPr>
        <w:pStyle w:val="BlockText"/>
      </w:pPr>
      <w:r>
        <w:rPr>
          <w:b/>
          <w:bCs/>
        </w:rPr>
        <w:t xml:space="preserve">Secara singkat:</w:t>
      </w:r>
      <w:r>
        <w:t xml:space="preserve"> </w:t>
      </w:r>
      <w:r>
        <w:t xml:space="preserve">Virtual pipeline CNG adalah cara menyalurkan gas bumi tanpa pipa permanen: gas dikompresi hingga tekanan tinggi (sekitar 200–250 bar), lalu diangkut memakai truk bertekanan seperti Gas Transportation Module (GTM) ke lokasi pelanggan. Model ini masuk akal secara ekonomi saat jarak, volume, atau kepadatan permintaan belum cukup besar untuk menutup biaya pembangunan pipa permanen.</w:t>
      </w:r>
    </w:p>
    <w:p>
      <w:pPr>
        <w:pStyle w:val="FirstParagraph"/>
      </w:pPr>
      <w:r>
        <w:rPr>
          <w:i/>
          <w:iCs/>
        </w:rPr>
        <w:t xml:space="preserve">[Image 01: Grafik garis konsep membandingkan biaya kumulatif dua model. Garis pipa mulai tinggi lalu landai; garis virtual pipeline CNG mulai rendah lalu naik curam. Titik perpotongan dilabeli</w:t>
      </w:r>
      <w:r>
        <w:rPr>
          <w:i/>
          <w:iCs/>
        </w:rPr>
        <w:t xml:space="preserve"> </w:t>
      </w:r>
      <w:r>
        <w:rPr>
          <w:i/>
          <w:iCs/>
        </w:rPr>
        <w:t xml:space="preserve">“zona keputusan: tergantung jarak &amp; volume”</w:t>
      </w:r>
      <w:r>
        <w:rPr>
          <w:i/>
          <w:iCs/>
        </w:rPr>
        <w:t xml:space="preserve">. Gaya korporat biru-hijau, teks Bahasa Indonesia, catatan</w:t>
      </w:r>
      <w:r>
        <w:rPr>
          <w:i/>
          <w:iCs/>
        </w:rPr>
        <w:t xml:space="preserve"> </w:t>
      </w:r>
      <w:r>
        <w:rPr>
          <w:i/>
          <w:iCs/>
        </w:rPr>
        <w:t xml:space="preserve">“Ilustrasi konsep, bukan skala sebenarnya”</w:t>
      </w:r>
      <w:r>
        <w:rPr>
          <w:i/>
          <w:iCs/>
        </w:rPr>
        <w:t xml:space="preserve">. Alt-text:</w:t>
      </w:r>
      <w:r>
        <w:rPr>
          <w:i/>
          <w:iCs/>
        </w:rPr>
        <w:t xml:space="preserve"> </w:t>
      </w:r>
      <w:r>
        <w:rPr>
          <w:i/>
          <w:iCs/>
        </w:rPr>
        <w:t xml:space="preserve">“Kurva biaya pipa gas vs virtual pipeline CNG”</w:t>
      </w:r>
      <w:r>
        <w:rPr>
          <w:i/>
          <w:iCs/>
        </w:rPr>
        <w:t xml:space="preserve">.]</w:t>
      </w:r>
    </w:p>
    <w:bookmarkStart w:id="19" w:name="Xfb5e9b519a16365fcba1c878591f7834173dda2"/>
    <w:p>
      <w:pPr>
        <w:pStyle w:val="Heading2"/>
      </w:pPr>
      <w:r>
        <w:t xml:space="preserve">Pipa Gas dan Virtual Pipeline CNG: Dua Cara Mengirim Gas Bumi</w:t>
      </w:r>
    </w:p>
    <w:p>
      <w:pPr>
        <w:pStyle w:val="FirstParagraph"/>
      </w:pPr>
      <w:r>
        <w:t xml:space="preserve">Ada dua cara utama mengantar gas bumi: lewat pipa permanen yang ditanam di tanah, atau lewat virtual pipeline, yaitu gas yang dikompresi menjadi CNG lalu diangkut truk ke lokasi tanpa pipa. Keduanya menyalurkan molekul gas yang sama; yang berbeda adalah struktur biaya dan kapan masing-masing paling ekonomis.</w:t>
      </w:r>
    </w:p>
    <w:p>
      <w:pPr>
        <w:pStyle w:val="BodyText"/>
      </w:pPr>
      <w:r>
        <w:t xml:space="preserve">Jaringan pipa gas bumi nasional Indonesia kini mencapai sekitar</w:t>
      </w:r>
      <w:r>
        <w:t xml:space="preserve"> </w:t>
      </w:r>
      <w:hyperlink r:id="rId18">
        <w:r>
          <w:rPr>
            <w:rStyle w:val="Hyperlink"/>
          </w:rPr>
          <w:t xml:space="preserve">22.821 km</w:t>
        </w:r>
      </w:hyperlink>
      <w:r>
        <w:t xml:space="preserve">, gabungan pipa transmisi, distribusi, serta pipa kepentingan sendiri dan jaringan gas rumah tangga (menurut BPH Migas). Angka itu tumbuh dari 13.764 km pada 2018, namun tetap tak menjangkau sebagian besar wilayah kepulauan.</w:t>
      </w:r>
    </w:p>
    <w:p>
      <w:pPr>
        <w:pStyle w:val="BodyText"/>
      </w:pPr>
      <w:r>
        <w:t xml:space="preserve">Di sinilah CNG (</w:t>
      </w:r>
      <w:r>
        <w:rPr>
          <w:i/>
          <w:iCs/>
        </w:rPr>
        <w:t xml:space="preserve">Compressed Natural Gas</w:t>
      </w:r>
      <w:r>
        <w:t xml:space="preserve">, gas bumi yang dikompresi) berperan sebagai moda pengganti. Pipa unggul mengalirkan gas terus-menerus ke koridor padat; virtual pipeline dirancang untuk lokasi tersebar yang belum layak dibangunkan pipa.</w:t>
      </w:r>
    </w:p>
    <w:bookmarkEnd w:id="19"/>
    <w:bookmarkStart w:id="20" w:name="X3bf937100a4284fb9adb883746144224d60febb"/>
    <w:p>
      <w:pPr>
        <w:pStyle w:val="Heading2"/>
      </w:pPr>
      <w:r>
        <w:t xml:space="preserve">Mengapa Membangun Pipa Gas Begitu Mahal dan Lambat?</w:t>
      </w:r>
    </w:p>
    <w:p>
      <w:pPr>
        <w:pStyle w:val="FirstParagraph"/>
      </w:pPr>
      <w:r>
        <w:t xml:space="preserve">Pipa gas mahal dan lambat karena hampir seluruh biayanya (capex, belanja modal) dikeluarkan di muka: survei, pembebasan lahan, perizinan, dan konstruksi bertahun-tahun sebelum satu unit gas mengalir. Modal sebesar itu baru balik jika ada permintaan besar dan stabil jangka panjang, atau</w:t>
      </w:r>
      <w:r>
        <w:t xml:space="preserve"> </w:t>
      </w:r>
      <w:r>
        <w:rPr>
          <w:i/>
          <w:iCs/>
        </w:rPr>
        <w:t xml:space="preserve">anchor demand</w:t>
      </w:r>
      <w:r>
        <w:t xml:space="preserve">, untuk mengisi pipa mendekati penuh selama puluhan tahun.</w:t>
      </w:r>
    </w:p>
    <w:p>
      <w:pPr>
        <w:pStyle w:val="BodyText"/>
      </w:pPr>
      <w:r>
        <w:t xml:space="preserve">Contoh skalanya nyata. Proyek pipa transmisi Dumai–Sei Mangkei di Sumatra sepanjang 400 km bernilai sekitar Rp6,6 triliun dengan target rampung 2027 (Kementerian ESDM, Januari 2024). Nilai proyek sebesar ini kerap direvisi seiring tahap konstruksi, jadi anggap sebagai gambaran skala, bukan tarif baku pipa.</w:t>
      </w:r>
    </w:p>
    <w:p>
      <w:pPr>
        <w:pStyle w:val="BodyText"/>
      </w:pPr>
      <w:r>
        <w:t xml:space="preserve">Empat beban terbesar dalam ekonomi pipa:</w:t>
      </w:r>
    </w:p>
    <w:p>
      <w:pPr>
        <w:pStyle w:val="Compact"/>
        <w:numPr>
          <w:ilvl w:val="0"/>
          <w:numId w:val="1001"/>
        </w:numPr>
      </w:pPr>
      <w:r>
        <w:rPr>
          <w:b/>
          <w:bCs/>
        </w:rPr>
        <w:t xml:space="preserve">Capex di muka</w:t>
      </w:r>
      <w:r>
        <w:t xml:space="preserve">: kompresor, material, dan konstruksi terpasang sebelum ada pendapatan.</w:t>
      </w:r>
    </w:p>
    <w:p>
      <w:pPr>
        <w:pStyle w:val="Compact"/>
        <w:numPr>
          <w:ilvl w:val="0"/>
          <w:numId w:val="1001"/>
        </w:numPr>
      </w:pPr>
      <w:r>
        <w:rPr>
          <w:b/>
          <w:bCs/>
        </w:rPr>
        <w:t xml:space="preserve">Pembebasan lahan dan perizinan</w:t>
      </w:r>
      <w:r>
        <w:t xml:space="preserve">: sering jadi penentu jadwal, bisa memakan tahunan.</w:t>
      </w:r>
    </w:p>
    <w:p>
      <w:pPr>
        <w:pStyle w:val="Compact"/>
        <w:numPr>
          <w:ilvl w:val="0"/>
          <w:numId w:val="1001"/>
        </w:numPr>
      </w:pPr>
      <w:r>
        <w:rPr>
          <w:b/>
          <w:bCs/>
        </w:rPr>
        <w:t xml:space="preserve">Waktu penggelaran</w:t>
      </w:r>
      <w:r>
        <w:t xml:space="preserve">: proyek transmisi besar berjalan dari perencanaan hingga operasi dalam hitungan tahun.</w:t>
      </w:r>
    </w:p>
    <w:p>
      <w:pPr>
        <w:pStyle w:val="Compact"/>
        <w:numPr>
          <w:ilvl w:val="0"/>
          <w:numId w:val="1001"/>
        </w:numPr>
      </w:pPr>
      <w:r>
        <w:rPr>
          <w:b/>
          <w:bCs/>
        </w:rPr>
        <w:t xml:space="preserve">Risiko utilisasi</w:t>
      </w:r>
      <w:r>
        <w:t xml:space="preserve">: bila permintaan meleset dari proyeksi, pipa menganggur dan biaya per unit membengkak.</w:t>
      </w:r>
    </w:p>
    <w:p>
      <w:pPr>
        <w:pStyle w:val="FirstParagraph"/>
      </w:pPr>
      <w:r>
        <w:t xml:space="preserve">Poin terakhir sering diremehkan. Pipa yang sudah terbangun pun tak otomatis terpakai penuh; BPH Migas mendorong optimalisasi jaringan yang ada. Efisiensi pipa hanya nyata bila utilisasinya tinggi.</w:t>
      </w:r>
    </w:p>
    <w:bookmarkEnd w:id="20"/>
    <w:bookmarkStart w:id="21" w:name="Xa487e2d3bee7d491332489746458bbbbca69001"/>
    <w:p>
      <w:pPr>
        <w:pStyle w:val="Heading2"/>
      </w:pPr>
      <w:r>
        <w:t xml:space="preserve">Berapa Biaya Sebenarnya Model Virtual Pipeline CNG?</w:t>
      </w:r>
    </w:p>
    <w:p>
      <w:pPr>
        <w:pStyle w:val="FirstParagraph"/>
      </w:pPr>
      <w:r>
        <w:t xml:space="preserve">Kebalikan dari pipa: virtual pipeline CNG hemat di muka, tapi menanggung opex logistik yang berjalan terus. Capex-nya relatif rendah karena cukup membangun titik kompresi (Mother Station) dan armada truk, tanpa menanam pipa ke lokasi pelanggan. Sebagai gantinya, tiap pengiriman menimbulkan biaya kompresi, bahan bakar truk, tenaga kerja, dan logistik rute.</w:t>
      </w:r>
    </w:p>
    <w:p>
      <w:pPr>
        <w:pStyle w:val="BodyText"/>
      </w:pPr>
      <w:r>
        <w:t xml:space="preserve">Komponen biaya yang berjalan pada model CNG truk:</w:t>
      </w:r>
    </w:p>
    <w:p>
      <w:pPr>
        <w:pStyle w:val="Compact"/>
        <w:numPr>
          <w:ilvl w:val="0"/>
          <w:numId w:val="1002"/>
        </w:numPr>
      </w:pPr>
      <w:r>
        <w:rPr>
          <w:b/>
          <w:bCs/>
        </w:rPr>
        <w:t xml:space="preserve">Kompresi</w:t>
      </w:r>
      <w:r>
        <w:t xml:space="preserve">: energi untuk memampatkan gas hingga 200–250 bar di Mother Station.</w:t>
      </w:r>
    </w:p>
    <w:p>
      <w:pPr>
        <w:pStyle w:val="Compact"/>
        <w:numPr>
          <w:ilvl w:val="0"/>
          <w:numId w:val="1002"/>
        </w:numPr>
      </w:pPr>
      <w:r>
        <w:rPr>
          <w:b/>
          <w:bCs/>
        </w:rPr>
        <w:t xml:space="preserve">Angkutan</w:t>
      </w:r>
      <w:r>
        <w:t xml:space="preserve">: bahan bakar truk, perawatan armada, dan modul tabung (GTM) itu sendiri.</w:t>
      </w:r>
    </w:p>
    <w:p>
      <w:pPr>
        <w:pStyle w:val="Compact"/>
        <w:numPr>
          <w:ilvl w:val="0"/>
          <w:numId w:val="1002"/>
        </w:numPr>
      </w:pPr>
      <w:r>
        <w:rPr>
          <w:b/>
          <w:bCs/>
        </w:rPr>
        <w:t xml:space="preserve">Tenaga kerja dan rute</w:t>
      </w:r>
      <w:r>
        <w:t xml:space="preserve">: pengemudi, penjadwalan, serta keandalan rute pulang-pergi.</w:t>
      </w:r>
    </w:p>
    <w:p>
      <w:pPr>
        <w:pStyle w:val="Compact"/>
        <w:numPr>
          <w:ilvl w:val="0"/>
          <w:numId w:val="1002"/>
        </w:numPr>
      </w:pPr>
      <w:r>
        <w:rPr>
          <w:b/>
          <w:bCs/>
        </w:rPr>
        <w:t xml:space="preserve">Skala jarak</w:t>
      </w:r>
      <w:r>
        <w:t xml:space="preserve">: makin jauh pelanggan, makin besar ongkos per unit energi yang diangkut.</w:t>
      </w:r>
    </w:p>
    <w:p>
      <w:pPr>
        <w:pStyle w:val="FirstParagraph"/>
      </w:pPr>
      <w:r>
        <w:t xml:space="preserve">Karena itu, tak ada satu angka rupiah yang berlaku universal: biaya per unit CNG naik seiring jarak dan turun bila volume di satu titik cukup padat untuk mengisi truk secara efisien.</w:t>
      </w:r>
    </w:p>
    <w:bookmarkEnd w:id="21"/>
    <w:bookmarkStart w:id="25" w:name="Xfab766958042eadb7624ab63274edad06c9a87f"/>
    <w:p>
      <w:pPr>
        <w:pStyle w:val="Heading2"/>
      </w:pPr>
      <w:r>
        <w:t xml:space="preserve">Kapan CNG Lebih Ekonomis? Logika Titik Impas Jarak dan Volume</w:t>
      </w:r>
    </w:p>
    <w:p>
      <w:pPr>
        <w:pStyle w:val="FirstParagraph"/>
      </w:pPr>
      <w:r>
        <w:t xml:space="preserve">CNG lebih ekonomis ketika jarak masih terjangkau, volume kebutuhan sedang, dan permintaan tersebar atau belum pasti jangka panjang, kondisi yang membuat pipa permanen tak pernah mencapai titik impas. Titik impas itu bukan angka kilometer tetap, melainkan hasil interaksi jarak, volume, dan kepadatan permintaan di lokasi tersebut.</w:t>
      </w:r>
    </w:p>
    <w:p>
      <w:pPr>
        <w:pStyle w:val="BodyText"/>
      </w:pPr>
      <w:r>
        <w:t xml:space="preserve">Empat variabel menggerakkan perhitungan ini. Jarak dari titik kompresi ke pelanggan menaikkan opex logistik CNG per kilometer. Volume harian yang besar dan stabil justru mengarah ke pipa, karena capex terbagi ke banyak unit energi. Kepadatan permintaan mempercepat pipa mencapai titik impas, dan tanpa kepastian jangka panjang, modal pipa sulit dibenarkan.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Pipa Gas (Permanen)</w:t>
            </w:r>
          </w:p>
        </w:tc>
        <w:tc>
          <w:tcPr/>
          <w:p>
            <w:pPr>
              <w:pStyle w:val="Compact"/>
            </w:pPr>
            <w:r>
              <w:t xml:space="preserve">Virtual Pipeline CNG (Gaslink/GTM)</w:t>
            </w:r>
          </w:p>
        </w:tc>
      </w:tr>
      <w:tr>
        <w:tc>
          <w:tcPr/>
          <w:p>
            <w:pPr>
              <w:pStyle w:val="Compact"/>
            </w:pPr>
            <w:r>
              <w:t xml:space="preserve">Capex awal</w:t>
            </w:r>
          </w:p>
        </w:tc>
        <w:tc>
          <w:tcPr/>
          <w:p>
            <w:pPr>
              <w:pStyle w:val="Compact"/>
            </w:pPr>
            <w:r>
              <w:t xml:space="preserve">Sangat tinggi, di muka; triliunan rupiah untuk transmisi</w:t>
            </w:r>
          </w:p>
        </w:tc>
        <w:tc>
          <w:tcPr/>
          <w:p>
            <w:pPr>
              <w:pStyle w:val="Compact"/>
            </w:pPr>
            <w:r>
              <w:t xml:space="preserve">Rendah; cukup Mother Station &amp; armada truk</w:t>
            </w:r>
          </w:p>
        </w:tc>
      </w:tr>
      <w:tr>
        <w:tc>
          <w:tcPr/>
          <w:p>
            <w:pPr>
              <w:pStyle w:val="Compact"/>
            </w:pPr>
            <w:r>
              <w:t xml:space="preserve">Opex berjalan</w:t>
            </w:r>
          </w:p>
        </w:tc>
        <w:tc>
          <w:tcPr/>
          <w:p>
            <w:pPr>
              <w:pStyle w:val="Compact"/>
            </w:pPr>
            <w:r>
              <w:t xml:space="preserve">Rendah per unit bila utilisasi tinggi</w:t>
            </w:r>
          </w:p>
        </w:tc>
        <w:tc>
          <w:tcPr/>
          <w:p>
            <w:pPr>
              <w:pStyle w:val="Compact"/>
            </w:pPr>
            <w:r>
              <w:t xml:space="preserve">Lebih tinggi tiap pengiriman (kompresi, BBM, tenaga)</w:t>
            </w:r>
          </w:p>
        </w:tc>
      </w:tr>
      <w:tr>
        <w:tc>
          <w:tcPr/>
          <w:p>
            <w:pPr>
              <w:pStyle w:val="Compact"/>
            </w:pPr>
            <w:r>
              <w:t xml:space="preserve">Waktu gelar</w:t>
            </w:r>
          </w:p>
        </w:tc>
        <w:tc>
          <w:tcPr/>
          <w:p>
            <w:pPr>
              <w:pStyle w:val="Compact"/>
            </w:pPr>
            <w:r>
              <w:t xml:space="preserve">Tahunan (survei, izin lahan, konstruksi)</w:t>
            </w:r>
          </w:p>
        </w:tc>
        <w:tc>
          <w:tcPr/>
          <w:p>
            <w:pPr>
              <w:pStyle w:val="Compact"/>
            </w:pPr>
            <w:r>
              <w:t xml:space="preserve">Minggu–bulan setelah kontrak disepakati</w:t>
            </w:r>
          </w:p>
        </w:tc>
      </w:tr>
      <w:tr>
        <w:tc>
          <w:tcPr/>
          <w:p>
            <w:pPr>
              <w:pStyle w:val="Compact"/>
            </w:pPr>
            <w:r>
              <w:t xml:space="preserve">Fleksibilitas</w:t>
            </w:r>
          </w:p>
        </w:tc>
        <w:tc>
          <w:tcPr/>
          <w:p>
            <w:pPr>
              <w:pStyle w:val="Compact"/>
            </w:pPr>
            <w:r>
              <w:t xml:space="preserve">Rendah; rute permanen</w:t>
            </w:r>
          </w:p>
        </w:tc>
        <w:tc>
          <w:tcPr/>
          <w:p>
            <w:pPr>
              <w:pStyle w:val="Compact"/>
            </w:pPr>
            <w:r>
              <w:t xml:space="preserve">Tinggi; armada ikuti perubahan permintaan</w:t>
            </w:r>
          </w:p>
        </w:tc>
      </w:tr>
      <w:tr>
        <w:tc>
          <w:tcPr/>
          <w:p>
            <w:pPr>
              <w:pStyle w:val="Compact"/>
            </w:pPr>
            <w:r>
              <w:t xml:space="preserve">Skala ideal</w:t>
            </w:r>
          </w:p>
        </w:tc>
        <w:tc>
          <w:tcPr/>
          <w:p>
            <w:pPr>
              <w:pStyle w:val="Compact"/>
            </w:pPr>
            <w:r>
              <w:t xml:space="preserve">Volume besar-stabil, koridor padat dekat sumber</w:t>
            </w:r>
          </w:p>
        </w:tc>
        <w:tc>
          <w:tcPr/>
          <w:p>
            <w:pPr>
              <w:pStyle w:val="Compact"/>
            </w:pPr>
            <w:r>
              <w:t xml:space="preserve">Volume kecil-menengah, tersebar, belum terpipa</w:t>
            </w:r>
          </w:p>
        </w:tc>
      </w:tr>
    </w:tbl>
    <w:p>
      <w:pPr>
        <w:pStyle w:val="BodyText"/>
      </w:pPr>
      <w:r>
        <w:t xml:space="preserve">Pola ini tercermin dalam kebijakan nasional. Lewat</w:t>
      </w:r>
      <w:r>
        <w:t xml:space="preserve"> </w:t>
      </w:r>
      <w:hyperlink r:id="rId22">
        <w:r>
          <w:rPr>
            <w:rStyle w:val="Hyperlink"/>
          </w:rPr>
          <w:t xml:space="preserve">Rencana Induk Jaringan Transmisi dan Distribusi Gas Bumi Nasional (RIJTDGBN) 2022–2031</w:t>
        </w:r>
      </w:hyperlink>
      <w:r>
        <w:t xml:space="preserve"> </w:t>
      </w:r>
      <w:r>
        <w:t xml:space="preserve">(Kepmen ESDM No. 10.K/MG.01/MEM.M/2023), pemerintah membagi Indonesia jadi enam wilayah. Wilayah I–III (Indonesia Barat, backbone Sumatra–Jawa) difokuskan pada jaringan pipa, termasuk proyek Dumai–Sei Mangkei dan pipa Cirebon–Semarang (Cisem) Tahap II yang beroperasi penuh sejak Juni 2026. Wilayah IV–VI (Indonesia Timur), dengan permintaan tersebar di geografi kepulauan, diarahkan ke</w:t>
      </w:r>
      <w:r>
        <w:t xml:space="preserve"> </w:t>
      </w:r>
      <w:hyperlink r:id="rId23">
        <w:r>
          <w:rPr>
            <w:rStyle w:val="Hyperlink"/>
          </w:rPr>
          <w:t xml:space="preserve">LNG untuk volume besar dan jarak jauh</w:t>
        </w:r>
      </w:hyperlink>
      <w:r>
        <w:t xml:space="preserve"> </w:t>
      </w:r>
      <w:r>
        <w:t xml:space="preserve">serta pendekatan</w:t>
      </w:r>
      <w:r>
        <w:t xml:space="preserve"> </w:t>
      </w:r>
      <w:r>
        <w:rPr>
          <w:i/>
          <w:iCs/>
        </w:rPr>
        <w:t xml:space="preserve">beyond pipeline</w:t>
      </w:r>
      <w:r>
        <w:t xml:space="preserve">. (Pembaruan RIJTDGBN 2024–2033 masih tahap sosialisasi.)</w:t>
      </w:r>
    </w:p>
    <w:p>
      <w:pPr>
        <w:pStyle w:val="BodyText"/>
      </w:pPr>
      <w:r>
        <w:rPr>
          <w:i/>
          <w:iCs/>
        </w:rPr>
        <w:t xml:space="preserve">[Image 02: Peta Indonesia sederhana. Wilayah I–III (Sumatra–Jawa) berwarna biru, label</w:t>
      </w:r>
      <w:r>
        <w:rPr>
          <w:i/>
          <w:iCs/>
        </w:rPr>
        <w:t xml:space="preserve"> </w:t>
      </w:r>
      <w:r>
        <w:rPr>
          <w:i/>
          <w:iCs/>
        </w:rPr>
        <w:t xml:space="preserve">“Fokus pipa transmisi/distribusi”</w:t>
      </w:r>
      <w:r>
        <w:rPr>
          <w:i/>
          <w:iCs/>
        </w:rPr>
        <w:t xml:space="preserve">, ikon pipa. Wilayah IV–VI (Indonesia Timur/kepulauan) berwarna hijau, label</w:t>
      </w:r>
      <w:r>
        <w:rPr>
          <w:i/>
          <w:iCs/>
        </w:rPr>
        <w:t xml:space="preserve"> </w:t>
      </w:r>
      <w:r>
        <w:rPr>
          <w:i/>
          <w:iCs/>
        </w:rPr>
        <w:t xml:space="preserve">“Fokus LNG &amp; virtual pipeline”</w:t>
      </w:r>
      <w:r>
        <w:rPr>
          <w:i/>
          <w:iCs/>
        </w:rPr>
        <w:t xml:space="preserve">, ikon truk GTM dan kapal LNG. Sumber di pojok:</w:t>
      </w:r>
      <w:r>
        <w:rPr>
          <w:i/>
          <w:iCs/>
        </w:rPr>
        <w:t xml:space="preserve"> </w:t>
      </w:r>
      <w:r>
        <w:rPr>
          <w:i/>
          <w:iCs/>
        </w:rPr>
        <w:t xml:space="preserve">“RIJTDGBN 2022–2031, Kementerian ESDM”</w:t>
      </w:r>
      <w:r>
        <w:rPr>
          <w:i/>
          <w:iCs/>
        </w:rPr>
        <w:t xml:space="preserve">. Teks Bahasa Indonesia. Alt-text:</w:t>
      </w:r>
      <w:r>
        <w:rPr>
          <w:i/>
          <w:iCs/>
        </w:rPr>
        <w:t xml:space="preserve"> </w:t>
      </w:r>
      <w:r>
        <w:rPr>
          <w:i/>
          <w:iCs/>
        </w:rPr>
        <w:t xml:space="preserve">“Strategi infrastruktur gas Indonesia Barat dan Timur”</w:t>
      </w:r>
      <w:r>
        <w:rPr>
          <w:i/>
          <w:iCs/>
        </w:rPr>
        <w:t xml:space="preserve">.]</w:t>
      </w:r>
    </w:p>
    <w:p>
      <w:pPr>
        <w:pStyle w:val="BodyText"/>
      </w:pPr>
      <w:r>
        <w:t xml:space="preserve">Di ceruk inilah penyedia seperti PGN Gagas menempatkan virtual pipeline CNG lewat</w:t>
      </w:r>
      <w:r>
        <w:t xml:space="preserve"> </w:t>
      </w:r>
      <w:hyperlink r:id="rId24">
        <w:r>
          <w:rPr>
            <w:rStyle w:val="Hyperlink"/>
          </w:rPr>
          <w:t xml:space="preserve">Gaslink via Gas Transportation Module</w:t>
        </w:r>
      </w:hyperlink>
      <w:r>
        <w:t xml:space="preserve"> </w:t>
      </w:r>
      <w:r>
        <w:t xml:space="preserve">— tepat pada rentang jarak dan volume ketika model itu paling masuk akal, termasuk kantong-kantong tanpa pipa yang masih tersisa di Indonesia Barat.</w:t>
      </w:r>
    </w:p>
    <w:bookmarkEnd w:id="25"/>
    <w:bookmarkStart w:id="26" w:name="Xa58812492b2c6d3de2ceb9d4c43a1301b24e801"/>
    <w:p>
      <w:pPr>
        <w:pStyle w:val="Heading2"/>
      </w:pPr>
      <w:r>
        <w:t xml:space="preserve">Kapan Pipa Gas Tetap Lebih Ekonomis daripada CNG?</w:t>
      </w:r>
    </w:p>
    <w:p>
      <w:pPr>
        <w:pStyle w:val="FirstParagraph"/>
      </w:pPr>
      <w:r>
        <w:t xml:space="preserve">Pipa tetap menang ketika permintaan besar, stabil, dan dekat sumber gas dengan horizon puluhan tahun, misalnya koridor industri padat. Pada skala itu, opex logistik CNG yang berjalan terus menumpuk melebihi capex pipa yang sudah disusutkan. Virtual pipeline bukan jawaban universal; pada volume sangat besar dan permanen, pipa lebih murah per unit energi.</w:t>
      </w:r>
    </w:p>
    <w:p>
      <w:pPr>
        <w:pStyle w:val="BodyText"/>
      </w:pPr>
      <w:r>
        <w:t xml:space="preserve">Ini bagian yang jarang ditulis pihak yang berjualan CNG. Model truk unggul dalam fleksibilitas dan kecepatan gelar, tapi tiap unit energi tetap menanggung ongkos kompresi dan angkut. Begitu volume di satu lokasi tumbuh besar dan pasti, ongkos berjalan itu bisa melampaui penghematan capex-nya.</w:t>
      </w:r>
    </w:p>
    <w:p>
      <w:pPr>
        <w:pStyle w:val="BodyText"/>
      </w:pPr>
      <w:r>
        <w:t xml:space="preserve">Dalam praktiknya, keduanya sering berurutan, bukan bersaing. Virtual pipeline CNG melayani pelanggan lebih dulu sambil permintaan regional matang; bila kelak volumenya cukup untuk membenarkan pipa permanen, transisi ke pipa menjadi logis. Membaca</w:t>
      </w:r>
      <w:r>
        <w:t xml:space="preserve"> </w:t>
      </w:r>
      <w:r>
        <w:t xml:space="preserve">“pipa vs CNG”</w:t>
      </w:r>
      <w:r>
        <w:t xml:space="preserve"> </w:t>
      </w:r>
      <w:r>
        <w:t xml:space="preserve">sebagai pertarungan menang-kalah sering menyesatkan keputusan.</w:t>
      </w:r>
    </w:p>
    <w:bookmarkEnd w:id="26"/>
    <w:bookmarkStart w:id="33" w:name="faq-pertanyaan-yang-sering-diajukan"/>
    <w:p>
      <w:pPr>
        <w:pStyle w:val="Heading2"/>
      </w:pPr>
      <w:r>
        <w:t xml:space="preserve">FAQ (Pertanyaan yang Sering Diajukan)</w:t>
      </w:r>
    </w:p>
    <w:bookmarkStart w:id="27" w:name="apa-itu-virtual-pipeline-cng"/>
    <w:p>
      <w:pPr>
        <w:pStyle w:val="Heading3"/>
      </w:pPr>
      <w:r>
        <w:t xml:space="preserve">Apa itu virtual pipeline CNG?</w:t>
      </w:r>
    </w:p>
    <w:p>
      <w:pPr>
        <w:pStyle w:val="FirstParagraph"/>
      </w:pPr>
      <w:r>
        <w:t xml:space="preserve">Virtual pipeline CNG adalah cara menyalurkan gas bumi tanpa pipa permanen: gas dikompresi hingga sekitar 200–250 bar, lalu diangkut truk bertekanan seperti Gas Transportation Module (GTM) ke lokasi pelanggan, sebelum tekanannya diturunkan lewat Pressure Reducing Station (PRS). Model ini melayani industri dan komersial di luar jangkauan pipa (</w:t>
      </w:r>
      <w:r>
        <w:rPr>
          <w:i/>
          <w:iCs/>
        </w:rPr>
        <w:t xml:space="preserve">beyond pipeline</w:t>
      </w:r>
      <w:r>
        <w:t xml:space="preserve">).</w:t>
      </w:r>
    </w:p>
    <w:bookmarkEnd w:id="27"/>
    <w:bookmarkStart w:id="28" w:name="mana-yang-lebih-murah-pipa-gas-atau-cng"/>
    <w:p>
      <w:pPr>
        <w:pStyle w:val="Heading3"/>
      </w:pPr>
      <w:r>
        <w:t xml:space="preserve">Mana yang lebih murah, pipa gas atau CNG?</w:t>
      </w:r>
    </w:p>
    <w:p>
      <w:pPr>
        <w:pStyle w:val="FirstParagraph"/>
      </w:pPr>
      <w:r>
        <w:t xml:space="preserve">Tidak ada jawaban tunggal. Pipa butuh capex besar di awal, tapi opex per unit rendah bila volume dan durasinya besar-stabil selama puluhan tahun. Virtual pipeline CNG capex-nya jauh lebih rendah, tapi opex logistik berjalan terus tiap pengiriman. Yang paling ekonomis bergantung pada jarak, volume, dan kepadatan permintaan.</w:t>
      </w:r>
    </w:p>
    <w:bookmarkEnd w:id="28"/>
    <w:bookmarkStart w:id="29" w:name="berapa-biaya-membangun-pipa-gas"/>
    <w:p>
      <w:pPr>
        <w:pStyle w:val="Heading3"/>
      </w:pPr>
      <w:r>
        <w:t xml:space="preserve">Berapa biaya membangun pipa gas?</w:t>
      </w:r>
    </w:p>
    <w:p>
      <w:pPr>
        <w:pStyle w:val="FirstParagraph"/>
      </w:pPr>
      <w:r>
        <w:t xml:space="preserve">Bervariasi tergantung panjang, diameter, medan, dan pembebasan lahan. Sebagai gambaran skala, pipa transmisi Dumai–Sei Mangkei sepanjang 400 km bernilai sekitar Rp6,6 triliun dengan target rampung 2027 (Kementerian ESDM, Januari 2024). Angka proyek sebesar ini dapat berubah seiring tahap konstruksi.</w:t>
      </w:r>
    </w:p>
    <w:bookmarkEnd w:id="29"/>
    <w:bookmarkStart w:id="30" w:name="X1ba63b87664d12b03a351f41f4bf7a93d3f3657"/>
    <w:p>
      <w:pPr>
        <w:pStyle w:val="Heading3"/>
      </w:pPr>
      <w:r>
        <w:t xml:space="preserve">Kenapa daerah tertentu tidak dibangunkan pipa gas?</w:t>
      </w:r>
    </w:p>
    <w:p>
      <w:pPr>
        <w:pStyle w:val="FirstParagraph"/>
      </w:pPr>
      <w:r>
        <w:t xml:space="preserve">Pipa baru ekonomis bila ada kepastian permintaan besar dan stabil jangka panjang untuk menutup capex-nya. Daerah dengan permintaan kecil, tersebar, atau belum pasti sering belum memenuhi ambang itu. Lewat RIJTDGBN, Kementerian ESDM mengarahkan wilayah seperti ini, termasuk sebagian Indonesia Timur, ke strategi LNG atau virtual pipeline.</w:t>
      </w:r>
    </w:p>
    <w:bookmarkEnd w:id="30"/>
    <w:bookmarkStart w:id="31" w:name="Xca5c8a20481a8f3cf8b8339ecd71a949eda1466"/>
    <w:p>
      <w:pPr>
        <w:pStyle w:val="Heading3"/>
      </w:pPr>
      <w:r>
        <w:t xml:space="preserve">Apakah virtual pipeline CNG hanya solusi sementara?</w:t>
      </w:r>
    </w:p>
    <w:p>
      <w:pPr>
        <w:pStyle w:val="FirstParagraph"/>
      </w:pPr>
      <w:r>
        <w:t xml:space="preserve">Tidak selalu. Virtual pipeline CNG memang kerap menjadi solusi transisi sebelum pipa permanen dibangun. Namun di banyak lokasi dengan volume kecil-menengah atau geografi kepulauan seperti Indonesia Timur, model ini tetap menjadi pilihan jangka panjang karena pipa permanen tidak pernah mencapai titik impas ekonominya. RIJTDGBN pun menempatkan strategi LNG dan</w:t>
      </w:r>
      <w:r>
        <w:t xml:space="preserve"> </w:t>
      </w:r>
      <w:r>
        <w:rPr>
          <w:i/>
          <w:iCs/>
        </w:rPr>
        <w:t xml:space="preserve">beyond pipeline</w:t>
      </w:r>
      <w:r>
        <w:t xml:space="preserve"> </w:t>
      </w:r>
      <w:r>
        <w:t xml:space="preserve">sebagai pendekatan permanen untuk wilayah tertentu, bukan sekadar solusi antara.</w:t>
      </w:r>
    </w:p>
    <w:bookmarkEnd w:id="31"/>
    <w:bookmarkStart w:id="32" w:name="apa-bedanya-virtual-pipeline-cng-dan-lng"/>
    <w:p>
      <w:pPr>
        <w:pStyle w:val="Heading3"/>
      </w:pPr>
      <w:r>
        <w:t xml:space="preserve">Apa bedanya virtual pipeline CNG dan LNG?</w:t>
      </w:r>
    </w:p>
    <w:p>
      <w:pPr>
        <w:pStyle w:val="FirstParagraph"/>
      </w:pPr>
      <w:r>
        <w:t xml:space="preserve">Keduanya sama-sama</w:t>
      </w:r>
      <w:r>
        <w:t xml:space="preserve"> </w:t>
      </w:r>
      <w:r>
        <w:rPr>
          <w:i/>
          <w:iCs/>
        </w:rPr>
        <w:t xml:space="preserve">beyond pipeline</w:t>
      </w:r>
      <w:r>
        <w:t xml:space="preserve">, tapi berbeda bentuk gas dan skala idealnya. CNG mengangkut gas dalam bentuk terkompresi, cocok untuk volume menengah dan jarak yang belum terlalu jauh. LNG mencairkan gas sehingga densitas energinya jauh lebih tinggi, lebih efisien untuk volume besar dan jarak jauh antarpulau.</w:t>
      </w:r>
    </w:p>
    <w:bookmarkEnd w:id="32"/>
    <w:bookmarkEnd w:id="33"/>
    <w:bookmarkStart w:id="34" w:name="kesimpulan"/>
    <w:p>
      <w:pPr>
        <w:pStyle w:val="Heading2"/>
      </w:pPr>
      <w:r>
        <w:t xml:space="preserve">Kesimpulan</w:t>
      </w:r>
    </w:p>
    <w:p>
      <w:pPr>
        <w:pStyle w:val="FirstParagraph"/>
      </w:pPr>
      <w:r>
        <w:t xml:space="preserve">Keputusan pipa versus virtual pipeline CNG bukan soal moda mana yang lebih modern, melainkan soal kecocokan dengan jarak, volume, dan kepastian permintaan di lokasi Anda. Pipa unggul untuk koridor besar-stabil; CNG mengisi celah ketika pipa belum ekonomis. Sebagai anak usaha PGN yang merupakan bagian dari Subholding Gas Pertamina, PGN Gagas menghadirkan gas bumi ke wilayah yang belum terjangkau jaringan pipa lewat solusi CNG. Bila Anda menimbang keekonomian pasokan gas untuk fasilitas di luar jangkauan pipa, penilaian jarak-volume-lah yang menentukan, bukan asumsi umum.</w:t>
      </w:r>
    </w:p>
    <w:p>
      <w:pPr>
        <w:pStyle w:val="BodyText"/>
      </w:pPr>
      <w:r>
        <w:t xml:space="preserve">Untuk mendiskusikan model pasokan gas bumi yang paling ekonomis bagi lokasi perusahaan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 Type="http://schemas.openxmlformats.org/officeDocument/2006/relationships/hyperlink" Id="rId22" Target="https://migas.esdm.go.id/post/dukung-pengembangan-infrastruktur-hilir-gas-bumi-menteri-esdm-tetapkan-rencana-induk-jaringan-transmisi-dan-distribusi-gas-bumi-nasional-rijtdgbn-2022-2031" TargetMode="External" /><Relationship Type="http://schemas.openxmlformats.org/officeDocument/2006/relationships/hyperlink" Id="rId18" Target="https://www.bphmigas.go.id/bph-migas-dorong-pengoptimalan-jaringan-pipa-gas-bumi-nasional/" TargetMode="External" /></Relationships>
</file>

<file path=word/_rels/footnotes.xml.rels><?xml version="1.0" encoding="UTF-8"?><Relationships xmlns="http://schemas.openxmlformats.org/package/2006/relationships"><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 Type="http://schemas.openxmlformats.org/officeDocument/2006/relationships/hyperlink" Id="rId22" Target="https://migas.esdm.go.id/post/dukung-pengembangan-infrastruktur-hilir-gas-bumi-menteri-esdm-tetapkan-rencana-induk-jaringan-transmisi-dan-distribusi-gas-bumi-nasional-rijtdgbn-2022-2031" TargetMode="External" /><Relationship Type="http://schemas.openxmlformats.org/officeDocument/2006/relationships/hyperlink" Id="rId18" Target="https://www.bphmigas.go.id/bph-migas-dorong-pengoptimalan-jaringan-pipa-gas-bumi-nasio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2026-09-21T04:11:32Z</dcterms:created>
  <dcterms:modified xsi:type="dcterms:W3CDTF">2026-09-21T04:11:32Z</dcterms:modified>
</cp:coreProperties>
</file>

<file path=docProps/custom.xml><?xml version="1.0" encoding="utf-8"?>
<Properties xmlns="http://schemas.openxmlformats.org/officeDocument/2006/custom-properties" xmlns:vt="http://schemas.openxmlformats.org/officeDocument/2006/docPropsVTypes"/>
</file>