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"Garansi &amp; Asuransi Mobil BBG (Gasku): Yang Wajib Dicek Sebelum Konversi"</w:t>
      </w:r>
      <w:r>
        <w:br/>
      </w:r>
      <w:r>
        <w:rPr>
          <w:rStyle w:val="FunctionTok"/>
        </w:rPr>
        <w:t xml:space="preserve">meta_title</w:t>
      </w:r>
      <w:r>
        <w:rPr>
          <w:rStyle w:val="KeywordTok"/>
        </w:rPr>
        <w:t xml:space="preserve">:</w:t>
      </w:r>
      <w:r>
        <w:rPr>
          <w:rStyle w:val="AttributeTok"/>
        </w:rPr>
        <w:t xml:space="preserve"> </w:t>
      </w:r>
      <w:r>
        <w:rPr>
          <w:rStyle w:val="StringTok"/>
        </w:rPr>
        <w:t xml:space="preserve">"Gasku: Garansi &amp; Asuransi Mobil BBG Pasca-Konversi"</w:t>
      </w:r>
      <w:r>
        <w:br/>
      </w:r>
      <w:r>
        <w:rPr>
          <w:rStyle w:val="FunctionTok"/>
        </w:rPr>
        <w:t xml:space="preserve">meta_description</w:t>
      </w:r>
      <w:r>
        <w:rPr>
          <w:rStyle w:val="KeywordTok"/>
        </w:rPr>
        <w:t xml:space="preserve">:</w:t>
      </w:r>
      <w:r>
        <w:rPr>
          <w:rStyle w:val="AttributeTok"/>
        </w:rPr>
        <w:t xml:space="preserve"> </w:t>
      </w:r>
      <w:r>
        <w:rPr>
          <w:rStyle w:val="StringTok"/>
        </w:rPr>
        <w:t xml:space="preserve">"Sebelum pasang Gasku, cek dampak konversi BBG ke garansi pabrikan dan asuransi mobil: aturan PSAKBI Pasal 8, komponen berisiko, plus 5 langkah proteksinya."</w:t>
      </w:r>
      <w:r>
        <w:br/>
      </w:r>
      <w:r>
        <w:rPr>
          <w:rStyle w:val="FunctionTok"/>
        </w:rPr>
        <w:t xml:space="preserve">slug</w:t>
      </w:r>
      <w:r>
        <w:rPr>
          <w:rStyle w:val="KeywordTok"/>
        </w:rPr>
        <w:t xml:space="preserve">:</w:t>
      </w:r>
      <w:r>
        <w:rPr>
          <w:rStyle w:val="AttributeTok"/>
        </w:rPr>
        <w:t xml:space="preserve"> </w:t>
      </w:r>
      <w:r>
        <w:rPr>
          <w:rStyle w:val="StringTok"/>
        </w:rPr>
        <w:t xml:space="preserve">"gasku-garansi-asuransi-mobil-bbg-pasca-konversi"</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"Gasku"</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"garansi pabrikan mobil BBG"</w:t>
      </w:r>
      <w:r>
        <w:rPr>
          <w:rStyle w:val="KeywordTok"/>
        </w:rPr>
        <w:t xml:space="preserve">,</w:t>
      </w:r>
      <w:r>
        <w:rPr>
          <w:rStyle w:val="AttributeTok"/>
        </w:rPr>
        <w:t xml:space="preserve"> </w:t>
      </w:r>
      <w:r>
        <w:rPr>
          <w:rStyle w:val="StringTok"/>
        </w:rPr>
        <w:t xml:space="preserve">"asuransi kendaraan konversi gas"</w:t>
      </w:r>
      <w:r>
        <w:rPr>
          <w:rStyle w:val="KeywordTok"/>
        </w:rPr>
        <w:t xml:space="preserve">,</w:t>
      </w:r>
      <w:r>
        <w:rPr>
          <w:rStyle w:val="AttributeTok"/>
        </w:rPr>
        <w:t xml:space="preserve"> </w:t>
      </w:r>
      <w:r>
        <w:rPr>
          <w:rStyle w:val="StringTok"/>
        </w:rPr>
        <w:t xml:space="preserve">"PSAKBI Pasal 8 perubahan risiko"</w:t>
      </w:r>
      <w:r>
        <w:rPr>
          <w:rStyle w:val="KeywordTok"/>
        </w:rPr>
        <w:t xml:space="preserve">,</w:t>
      </w:r>
      <w:r>
        <w:rPr>
          <w:rStyle w:val="AttributeTok"/>
        </w:rPr>
        <w:t xml:space="preserve"> </w:t>
      </w:r>
      <w:r>
        <w:rPr>
          <w:rStyle w:val="StringTok"/>
        </w:rPr>
        <w:t xml:space="preserve">"converter kit bersertifikat"</w:t>
      </w:r>
      <w:r>
        <w:rPr>
          <w:rStyle w:val="KeywordTok"/>
        </w:rPr>
        <w:t xml:space="preserve">,</w:t>
      </w:r>
      <w:r>
        <w:rPr>
          <w:rStyle w:val="AttributeTok"/>
        </w:rPr>
        <w:t xml:space="preserve"> </w:t>
      </w:r>
      <w:r>
        <w:rPr>
          <w:rStyle w:val="StringTok"/>
        </w:rPr>
        <w:t xml:space="preserve">"bengkel konversi BBG resmi"</w:t>
      </w:r>
      <w:r>
        <w:rPr>
          <w:rStyle w:val="KeywordTok"/>
        </w:rPr>
        <w:t xml:space="preserve">,</w:t>
      </w:r>
      <w:r>
        <w:rPr>
          <w:rStyle w:val="AttributeTok"/>
        </w:rPr>
        <w:t xml:space="preserve"> </w:t>
      </w:r>
      <w:r>
        <w:rPr>
          <w:rStyle w:val="StringTok"/>
        </w:rPr>
        <w:t xml:space="preserve">"reversibilitas sistem bi-fuel"</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"Gasku"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"Compressed Natural Gas (CNG)"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untuk industri dan komersial"</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"https://jdih.kemenhub.go.id"</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"PM 39 Tahun 2012 — dasar hukum penggunaan CNG pada kendaraan &amp; kewajiban bengkel/teknisi bersertifikat"</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"https://www.toyota.astra.co.id/toyota-connect/news/klaim-bisa-ditolak-ini-alasan-kamu-harus-lapor-pihak-asuransi-saat-modifikasi-mobil"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"PSAKBI Pasal 8 (AAUI) — kewajiban melaporkan perubahan risiko ke asuransi &amp; konsekuensinya"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"https://peraturan.go.id/id/permenperin-no-70-m-ind-per-7-2012-tahun-2012"</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"Permenperin 70/2012 — sertifikasi wajib converter kit dan tangki CNG (SNI/UN-ECE/ISO)"</w:t>
      </w:r>
      <w:r>
        <w:br/>
      </w:r>
      <w:r>
        <w:rPr>
          <w:rStyle w:val="FunctionTok"/>
        </w:rPr>
        <w:t xml:space="preserve">brief_id</w:t>
      </w:r>
      <w:r>
        <w:rPr>
          <w:rStyle w:val="KeywordTok"/>
        </w:rPr>
        <w:t xml:space="preserve">:</w:t>
      </w:r>
      <w:r>
        <w:rPr>
          <w:rStyle w:val="AttributeTok"/>
        </w:rPr>
        <w:t xml:space="preserve"> </w:t>
      </w:r>
      <w:r>
        <w:rPr>
          <w:rStyle w:val="StringTok"/>
        </w:rPr>
        <w:t xml:space="preserve">"gasku-01"</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date_modified</w:t>
      </w:r>
      <w:r>
        <w:rPr>
          <w:rStyle w:val="KeywordTok"/>
        </w:rPr>
        <w:t xml:space="preserve">:</w:t>
      </w:r>
      <w:r>
        <w:rPr>
          <w:rStyle w:val="AttributeTok"/>
        </w:rPr>
        <w:t xml:space="preserve"> </w:t>
      </w:r>
      <w:r>
        <w:rPr>
          <w:rStyle w:val="StringTok"/>
        </w:rPr>
        <w:t xml:space="preserve">"2026-09-21"</w:t>
      </w:r>
      <w:r>
        <w:br/>
      </w:r>
      <w:r>
        <w:rPr>
          <w:rStyle w:val="FunctionTok"/>
        </w:rPr>
        <w:t xml:space="preserve">word_count</w:t>
      </w:r>
      <w:r>
        <w:rPr>
          <w:rStyle w:val="KeywordTok"/>
        </w:rPr>
        <w:t xml:space="preserve">:</w:t>
      </w:r>
      <w:r>
        <w:rPr>
          <w:rStyle w:val="AttributeTok"/>
        </w:rPr>
        <w:t xml:space="preserve"> </w:t>
      </w:r>
      <w:r>
        <w:rPr>
          <w:rStyle w:val="DecValTok"/>
        </w:rPr>
        <w:t xml:space="preserve">1423</w:t>
      </w:r>
    </w:p>
    <w:p>
      <w:r>
        <w:pict>
          <v:rect style="width:0;height:1.5pt" o:hralign="center" o:hrstd="t" o:hr="t"/>
        </w:pict>
      </w:r>
    </w:p>
    <w:bookmarkEnd w:id="16"/>
    <w:bookmarkStart w:id="35" w:name="X9a0c782e87757d72bb85c83d7a57951cb196855"/>
    <w:p>
      <w:pPr>
        <w:pStyle w:val="Heading1"/>
      </w:pPr>
      <w:r>
        <w:t xml:space="preserve">Garansi &amp; Asuransi Mobil BBG (Gasku): Yang Wajib Dicek Sebelum Konversi</w:t>
      </w:r>
    </w:p>
    <w:p>
      <w:pPr>
        <w:pStyle w:val="FirstParagraph"/>
      </w:pPr>
      <w:r>
        <w:t xml:space="preserve">Keputusan memasang Gasku sering tersendat bukan di angka hemat, melainkan di dua pertanyaan administratif yang jarang dijawab tuntas: kalau mobil dikonversi ke BBG, garansi pabriknya hangus atau tidak, dan apakah asuransinya masih menanggung klaim? Banyak calon pengguna berhenti di keraguan ini, lalu menunda konversi yang sebetulnya menguntungkan. Artikel ini merapikan keduanya: mekanisme garansi pabrikan, aturan pelaporan asuransi, dan langkah memproteksi hak Anda sebelum converter kit terpasang.</w:t>
      </w:r>
      <w:r>
        <w:t xml:space="preserve"> </w:t>
      </w:r>
      <w:hyperlink r:id="rId17">
        <w:r>
          <w:rPr>
            <w:rStyle w:val="Hyperlink"/>
          </w:rPr>
          <w:t xml:space="preserve">Gasku</w:t>
        </w:r>
      </w:hyperlink>
      <w:r>
        <w:t xml:space="preserve"> </w:t>
      </w:r>
      <w:r>
        <w:t xml:space="preserve">sendiri adalah layanan Bahan Bakar Gas (BBG) untuk transportasi yang dipasang lewat jalur resmi, dan justru jalur itulah yang menentukan aman-tidaknya status garansi serta klaim Anda.</w:t>
      </w:r>
    </w:p>
    <w:p>
      <w:pPr>
        <w:pStyle w:val="BlockText"/>
      </w:pPr>
      <w:r>
        <w:rPr>
          <w:b/>
          <w:bCs/>
        </w:rPr>
        <w:t xml:space="preserve">Ringkas:</w:t>
      </w:r>
      <w:r>
        <w:t xml:space="preserve"> </w:t>
      </w:r>
      <w:r>
        <w:t xml:space="preserve">Konversi BBG adalah pemasangan converter kit dan tangki CNG bersertifikat pada mobil bensin, sehingga kendaraan bisa memakai gas sebagai alternatif</w:t>
      </w:r>
      <w:r>
        <w:t xml:space="preserve"> </w:t>
      </w:r>
      <w:r>
        <w:rPr>
          <w:i/>
          <w:iCs/>
        </w:rPr>
        <w:t xml:space="preserve">bi-fuel</w:t>
      </w:r>
      <w:r>
        <w:t xml:space="preserve">. Karena mengubah sistem bahan bakar, konversi berpotensi menyentuh garansi pabrikan pada komponen terkait dan wajib dilaporkan ke perusahaan asuransi sesuai PSAKBI Pasal 8 agar perlindungan klaim tetap berlaku.</w:t>
      </w:r>
    </w:p>
    <w:bookmarkStart w:id="19" w:name="Xc811a5099aa9d88179d6d6d9d3e0c7cb54e1f40"/>
    <w:p>
      <w:pPr>
        <w:pStyle w:val="Heading2"/>
      </w:pPr>
      <w:r>
        <w:t xml:space="preserve">Apa yang Sebenarnya Terjadi pada Garansi &amp; Asuransi Saat Mobil Dikonversi ke BBG?</w:t>
      </w:r>
    </w:p>
    <w:p>
      <w:pPr>
        <w:pStyle w:val="FirstParagraph"/>
      </w:pPr>
      <w:r>
        <w:t xml:space="preserve">Saat mobil dikonversi ke BBG, garansi dan asuransi tersentuh dari dua sisi yang berbeda. Garansi pabrikan berisiko pada komponen yang diubah converter kit, terutama mesin dan kelistrikan. Asuransi tidak otomatis batal, tetapi PSAKBI Pasal 8 mewajibkan Anda melaporkan modifikasi ini supaya klaim tetap terlindungi.</w:t>
      </w:r>
    </w:p>
    <w:p>
      <w:pPr>
        <w:pStyle w:val="BodyText"/>
      </w:pPr>
      <w:r>
        <w:t xml:space="preserve">Gasku menggunakan teknologi</w:t>
      </w:r>
      <w:r>
        <w:t xml:space="preserve"> </w:t>
      </w:r>
      <w:hyperlink r:id="rId18">
        <w:r>
          <w:rPr>
            <w:rStyle w:val="Hyperlink"/>
          </w:rPr>
          <w:t xml:space="preserve">Compressed Natural Gas (CNG)</w:t>
        </w:r>
      </w:hyperlink>
      <w:r>
        <w:t xml:space="preserve">, yaitu gas bumi terkompresi untuk bahan bakar kendaraan. Pemasangannya menambahkan</w:t>
      </w:r>
      <w:r>
        <w:t xml:space="preserve"> </w:t>
      </w:r>
      <w:r>
        <w:rPr>
          <w:i/>
          <w:iCs/>
        </w:rPr>
        <w:t xml:space="preserve">converter kit</w:t>
      </w:r>
      <w:r>
        <w:t xml:space="preserve"> </w:t>
      </w:r>
      <w:r>
        <w:t xml:space="preserve">(perangkat konversi bahan bakar) dan ECU</w:t>
      </w:r>
      <w:r>
        <w:t xml:space="preserve"> </w:t>
      </w:r>
      <w:r>
        <w:rPr>
          <w:i/>
          <w:iCs/>
        </w:rPr>
        <w:t xml:space="preserve">bi-fuel</w:t>
      </w:r>
      <w:r>
        <w:t xml:space="preserve"> </w:t>
      </w:r>
      <w:r>
        <w:t xml:space="preserve">(kendali dua bahan bakar) ke sistem asli mobil. Karena itulah konversi masuk ke ranah garansi sekaligus asuransi.</w:t>
      </w:r>
    </w:p>
    <w:p>
      <w:pPr>
        <w:pStyle w:val="BodyText"/>
      </w:pPr>
      <w:r>
        <w:t xml:space="preserve">Kabar baiknya, sistem ini bersifat</w:t>
      </w:r>
      <w:r>
        <w:t xml:space="preserve"> </w:t>
      </w:r>
      <w:r>
        <w:rPr>
          <w:i/>
          <w:iCs/>
        </w:rPr>
        <w:t xml:space="preserve">bi-fuel</w:t>
      </w:r>
      <w:r>
        <w:t xml:space="preserve">: ada tombol pemilih untuk berpindah antara bensin dan gas kapan saja, jadi konversi tidak mengunci mobil ke satu jenis bahan bakar. Dari sisi biaya, BBG Gasku dijual pada level stabil Rp 4.500 per Liter Setara Premium (LSP) sejak diperkenalkan ulang di IIMS Februari 2024 hingga pemberitaan 2025 (Kompas.com; Detik Finance).</w:t>
      </w:r>
    </w:p>
    <w:bookmarkEnd w:id="19"/>
    <w:bookmarkStart w:id="20" w:name="X7de2887b3381019b0b8b2c6a1ff1c6576f0f196"/>
    <w:p>
      <w:pPr>
        <w:pStyle w:val="Heading2"/>
      </w:pPr>
      <w:r>
        <w:t xml:space="preserve">Apakah Garansi Pabrikan Otomatis Hangus Setelah Pasang Gasku?</w:t>
      </w:r>
    </w:p>
    <w:p>
      <w:pPr>
        <w:pStyle w:val="FirstParagraph"/>
      </w:pPr>
      <w:r>
        <w:t xml:space="preserve">Tidak. Sampai saat ini tidak ada satu pun ATPM (Agen Tunggal Pemegang Merek) di Indonesia yang secara resmi dan publik menyatakan konversi BBG membatalkan seluruh garansi. Yang berisiko adalah komponen yang tersentuh modifikasi, yakni mesin, sistem injeksi, dan kelistrikan terkait, bukan bodi atau interior. Kebijakan berbeda antar-pabrikan, jadi konfirmasi tertulis lebih dulu.</w:t>
      </w:r>
    </w:p>
    <w:p>
      <w:pPr>
        <w:pStyle w:val="BodyText"/>
      </w:pPr>
      <w:r>
        <w:t xml:space="preserve">Ini poin yang sering disalahpahami. Media otomotif kerap menulis</w:t>
      </w:r>
      <w:r>
        <w:t xml:space="preserve"> </w:t>
      </w:r>
      <w:r>
        <w:t xml:space="preserve">“garansi hangus”</w:t>
      </w:r>
      <w:r>
        <w:t xml:space="preserve"> </w:t>
      </w:r>
      <w:r>
        <w:t xml:space="preserve">sebagai vonis mutlak, padahal garansi mobil umumnya berbasis komponen. Klausul standar biasanya mengecualikan kerusakan akibat pemasangan komponen</w:t>
      </w:r>
      <w:r>
        <w:t xml:space="preserve"> </w:t>
      </w:r>
      <w:r>
        <w:rPr>
          <w:i/>
          <w:iCs/>
        </w:rPr>
        <w:t xml:space="preserve">aftermarket</w:t>
      </w:r>
      <w:r>
        <w:t xml:space="preserve"> </w:t>
      </w:r>
      <w:r>
        <w:t xml:space="preserve">atau penggunaan di luar petunjuk, bukan menghapus seluruh cakupan begitu saja. Karena tidak ada rilis resmi yang memetakan kebijakan ini per merek, perlakukan pembagian di atas sebagai kerangka umum industri: konfirmasi tertulis ke dealer resmi tetap langkah teraman.</w:t>
      </w:r>
    </w:p>
    <w:bookmarkEnd w:id="20"/>
    <w:bookmarkStart w:id="22" w:name="X68c925032dc65c2842efe7fdc32fdf9f87e7175"/>
    <w:p>
      <w:pPr>
        <w:pStyle w:val="Heading2"/>
      </w:pPr>
      <w:r>
        <w:t xml:space="preserve">Garansi Mana yang Berisiko, Mana yang Aman? (Plus Garansi Converter Kit)</w:t>
      </w:r>
    </w:p>
    <w:p>
      <w:pPr>
        <w:pStyle w:val="FirstParagraph"/>
      </w:pPr>
      <w:r>
        <w:t xml:space="preserve">Risiko garansi bersifat per-komponen, bukan semua-atau-tidak. Komponen yang disentuh converter kit (mesin, sistem injeksi, ECU) paling berisiko; bodi, cat, AC, dan interior pada prinsipnya berada di luar area konversi. Converter kit sendiri bergaransi terpisah dari bengkel atau produsen kit, bukan dari pabrikan mobil.</w:t>
      </w:r>
    </w:p>
    <w:p>
      <w:pPr>
        <w:pStyle w:val="BodyText"/>
      </w:pPr>
      <w:r>
        <w:rPr>
          <w:i/>
          <w:iCs/>
        </w:rPr>
        <w:t xml:space="preserve">[Image 01: Diagram peta risiko komponen. Mobil tampak samping, area mesin/injeksi &amp; kelistrikan berwarna oranye (</w:t>
      </w:r>
      <w:r>
        <w:rPr>
          <w:i/>
          <w:iCs/>
        </w:rPr>
        <w:t xml:space="preserve">“berpotensi tersentuh konversi”</w:t>
      </w:r>
      <w:r>
        <w:rPr>
          <w:i/>
          <w:iCs/>
        </w:rPr>
        <w:t xml:space="preserve">), bodi/AC/interior hijau (</w:t>
      </w:r>
      <w:r>
        <w:rPr>
          <w:i/>
          <w:iCs/>
        </w:rPr>
        <w:t xml:space="preserve">“di luar area konversi”</w:t>
      </w:r>
      <w:r>
        <w:rPr>
          <w:i/>
          <w:iCs/>
        </w:rPr>
        <w:t xml:space="preserve">). Label Bahasa Indonesia:</w:t>
      </w:r>
      <w:r>
        <w:rPr>
          <w:i/>
          <w:iCs/>
        </w:rPr>
        <w:t xml:space="preserve"> </w:t>
      </w:r>
      <w:r>
        <w:rPr>
          <w:i/>
          <w:iCs/>
        </w:rPr>
        <w:t xml:space="preserve">“Cek klausul garansi tertulis Anda.”</w:t>
      </w:r>
      <w:r>
        <w:rPr>
          <w:i/>
          <w:iCs/>
        </w:rPr>
        <w:t xml:space="preserve"> </w:t>
      </w:r>
      <w:r>
        <w:rPr>
          <w:i/>
          <w:iCs/>
        </w:rPr>
        <w:t xml:space="preserve">Gaya flat-infographic, palet biru-oranye. Alt: peta komponen mobil yang berisiko kehilangan garansi setelah konversi BBG.]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Komponen</w:t>
            </w:r>
          </w:p>
        </w:tc>
        <w:tc>
          <w:tcPr/>
          <w:p>
            <w:pPr>
              <w:pStyle w:val="Compact"/>
            </w:pPr>
            <w:r>
              <w:t xml:space="preserve">Tersentuh proses konversi?</w:t>
            </w:r>
          </w:p>
        </w:tc>
        <w:tc>
          <w:tcPr/>
          <w:p>
            <w:pPr>
              <w:pStyle w:val="Compact"/>
            </w:pPr>
            <w:r>
              <w:t xml:space="preserve">Potensi risiko garansi</w:t>
            </w:r>
          </w:p>
        </w:tc>
      </w:tr>
      <w:tr>
        <w:tc>
          <w:tcPr/>
          <w:p>
            <w:pPr>
              <w:pStyle w:val="Compact"/>
            </w:pPr>
            <w:r>
              <w:t xml:space="preserve">Mesin &amp; sistem injeksi</w:t>
            </w:r>
          </w:p>
        </w:tc>
        <w:tc>
          <w:tcPr/>
          <w:p>
            <w:pPr>
              <w:pStyle w:val="Compact"/>
            </w:pPr>
            <w:r>
              <w:t xml:space="preserve">Ya, dipasangi converter kit, regulator, injektor gas</w:t>
            </w:r>
          </w:p>
        </w:tc>
        <w:tc>
          <w:tcPr/>
          <w:p>
            <w:pPr>
              <w:pStyle w:val="Compact"/>
            </w:pPr>
            <w:r>
              <w:t xml:space="preserve">Berisiko tinggi</w:t>
            </w:r>
          </w:p>
        </w:tc>
      </w:tr>
      <w:tr>
        <w:tc>
          <w:tcPr/>
          <w:p>
            <w:pPr>
              <w:pStyle w:val="Compact"/>
            </w:pPr>
            <w:r>
              <w:t xml:space="preserve">Kelistrikan (ECU tambahan)</w:t>
            </w:r>
          </w:p>
        </w:tc>
        <w:tc>
          <w:tcPr/>
          <w:p>
            <w:pPr>
              <w:pStyle w:val="Compact"/>
            </w:pPr>
            <w:r>
              <w:t xml:space="preserve">Ya, ECU</w:t>
            </w:r>
            <w:r>
              <w:t xml:space="preserve"> </w:t>
            </w:r>
            <w:r>
              <w:rPr>
                <w:i/>
                <w:iCs/>
              </w:rPr>
              <w:t xml:space="preserve">bi-fuel</w:t>
            </w:r>
            <w:r>
              <w:t xml:space="preserve"> </w:t>
            </w:r>
            <w:r>
              <w:t xml:space="preserve">terhubung ke sistem asli</w:t>
            </w:r>
          </w:p>
        </w:tc>
        <w:tc>
          <w:tcPr/>
          <w:p>
            <w:pPr>
              <w:pStyle w:val="Compact"/>
            </w:pPr>
            <w:r>
              <w:t xml:space="preserve">Sedang–tinggi, tergantung instalasi</w:t>
            </w:r>
          </w:p>
        </w:tc>
      </w:tr>
      <w:tr>
        <w:tc>
          <w:tcPr/>
          <w:p>
            <w:pPr>
              <w:pStyle w:val="Compact"/>
            </w:pPr>
            <w:r>
              <w:t xml:space="preserve">Transmisi</w:t>
            </w:r>
          </w:p>
        </w:tc>
        <w:tc>
          <w:tcPr/>
          <w:p>
            <w:pPr>
              <w:pStyle w:val="Compact"/>
            </w:pPr>
            <w:r>
              <w:t xml:space="preserve">Umumnya tidak langsung</w:t>
            </w:r>
          </w:p>
        </w:tc>
        <w:tc>
          <w:tcPr/>
          <w:p>
            <w:pPr>
              <w:pStyle w:val="Compact"/>
            </w:pPr>
            <w:r>
              <w:t xml:space="preserve">Lebih rendah, tetap tergantung klausul ATPM</w:t>
            </w:r>
          </w:p>
        </w:tc>
      </w:tr>
      <w:tr>
        <w:tc>
          <w:tcPr/>
          <w:p>
            <w:pPr>
              <w:pStyle w:val="Compact"/>
            </w:pPr>
            <w:r>
              <w:t xml:space="preserve">Bodi, cat, interior</w:t>
            </w:r>
          </w:p>
        </w:tc>
        <w:tc>
          <w:tcPr/>
          <w:p>
            <w:pPr>
              <w:pStyle w:val="Compact"/>
            </w:pPr>
            <w:r>
              <w:t xml:space="preserve">Tidak</w:t>
            </w:r>
          </w:p>
        </w:tc>
        <w:tc>
          <w:tcPr/>
          <w:p>
            <w:pPr>
              <w:pStyle w:val="Compact"/>
            </w:pPr>
            <w:r>
              <w:t xml:space="preserve">Prinsipnya di luar area yang diubah</w:t>
            </w:r>
          </w:p>
        </w:tc>
      </w:tr>
      <w:tr>
        <w:tc>
          <w:tcPr/>
          <w:p>
            <w:pPr>
              <w:pStyle w:val="Compact"/>
            </w:pPr>
            <w:r>
              <w:t xml:space="preserve">AC &amp; kenyamanan kabin</w:t>
            </w:r>
          </w:p>
        </w:tc>
        <w:tc>
          <w:tcPr/>
          <w:p>
            <w:pPr>
              <w:pStyle w:val="Compact"/>
            </w:pPr>
            <w:r>
              <w:t xml:space="preserve">Tidak</w:t>
            </w:r>
          </w:p>
        </w:tc>
        <w:tc>
          <w:tcPr/>
          <w:p>
            <w:pPr>
              <w:pStyle w:val="Compact"/>
            </w:pPr>
            <w:r>
              <w:t xml:space="preserve">Prinsipnya di luar area yang diubah</w:t>
            </w:r>
          </w:p>
        </w:tc>
      </w:tr>
      <w:tr>
        <w:tc>
          <w:tcPr/>
          <w:p>
            <w:pPr>
              <w:pStyle w:val="Compact"/>
            </w:pPr>
            <w:r>
              <w:t xml:space="preserve">Converter kit</w:t>
            </w:r>
          </w:p>
        </w:tc>
        <w:tc>
          <w:tcPr/>
          <w:p>
            <w:pPr>
              <w:pStyle w:val="Compact"/>
            </w:pPr>
            <w:r>
              <w:t xml:space="preserve">—</w:t>
            </w:r>
          </w:p>
        </w:tc>
        <w:tc>
          <w:tcPr/>
          <w:p>
            <w:pPr>
              <w:pStyle w:val="Compact"/>
            </w:pPr>
            <w:r>
              <w:t xml:space="preserve">Bergaransi terpisah dari bengkel/produsen kit</w:t>
            </w:r>
          </w:p>
        </w:tc>
      </w:tr>
    </w:tbl>
    <w:p>
      <w:pPr>
        <w:pStyle w:val="BodyText"/>
      </w:pPr>
      <w:r>
        <w:t xml:space="preserve">Perhatikan baris terakhir. Garansi kit datang dari penyedia dan bengkel pemasang, dengan syarat kit itu bersertifikat.</w:t>
      </w:r>
      <w:r>
        <w:t xml:space="preserve"> </w:t>
      </w:r>
      <w:hyperlink r:id="rId21">
        <w:r>
          <w:rPr>
            <w:rStyle w:val="Hyperlink"/>
          </w:rPr>
          <w:t xml:space="preserve">Permenperin No. 70/M-IND/PER/7/2012</w:t>
        </w:r>
      </w:hyperlink>
      <w:r>
        <w:t xml:space="preserve"> </w:t>
      </w:r>
      <w:r>
        <w:t xml:space="preserve">mewajibkan converter kit dan tangki CNG memenuhi standar seperti SNI ISO 7407:2009 atau standar internasional setara (ISO/UN-ECE) sebelum boleh diedarkan. Jadi memilih kit bersertifikat bukan sekadar soal legalitas, tetapi juga syarat agar garansi kit berlaku.</w:t>
      </w:r>
    </w:p>
    <w:bookmarkEnd w:id="22"/>
    <w:bookmarkStart w:id="23" w:name="X18aff1f7e6bee2493986c4ceca559fefbfed0ab"/>
    <w:p>
      <w:pPr>
        <w:pStyle w:val="Heading2"/>
      </w:pPr>
      <w:r>
        <w:t xml:space="preserve">Apakah Mobil BBG Masih Ditanggung Asuransi Jika Terjadi Klaim?</w:t>
      </w:r>
    </w:p>
    <w:p>
      <w:pPr>
        <w:pStyle w:val="FirstParagraph"/>
      </w:pPr>
      <w:r>
        <w:t xml:space="preserve">Masih, asalkan dilaporkan. Berdasarkan PSAKBI Pasal 8 tentang Perubahan Risiko (AAUI), tertanggung wajib memberitahukan setiap perubahan yang memperbesar risiko paling lambat 7 hari kalender. Setelah itu penanggung berhak melanjutkan pertanggungan dengan premi lama atau lebih tinggi, atau menghentikannya disertai pengembalian premi. Tanpa laporan, klaim yang terkait modifikasi berisiko ditolak.</w:t>
      </w:r>
    </w:p>
    <w:p>
      <w:pPr>
        <w:pStyle w:val="BodyText"/>
      </w:pPr>
      <w:r>
        <w:t xml:space="preserve">Inilah dimensi yang hampir tak pernah dibahas artikel konversi. Pemasangan converter kit termasuk perubahan pada bagian dan pemakaian kendaraan, sehingga masuk cakupan Pasal 8. Modifikasi tetap bisa ditanggung; kuncinya ada pada pelaporan dan persetujuan penanggung, bukan pada jenis modifikasinya.</w:t>
      </w:r>
    </w:p>
    <w:p>
      <w:pPr>
        <w:pStyle w:val="BodyText"/>
      </w:pPr>
      <w:r>
        <w:rPr>
          <w:i/>
          <w:iCs/>
        </w:rPr>
        <w:t xml:space="preserve">[Image 02: Infografis dua kolom side-by-side. Kolom kiri</w:t>
      </w:r>
      <w:r>
        <w:rPr>
          <w:i/>
          <w:iCs/>
        </w:rPr>
        <w:t xml:space="preserve"> </w:t>
      </w:r>
      <w:r>
        <w:rPr>
          <w:i/>
          <w:iCs/>
        </w:rPr>
        <w:t xml:space="preserve">“Dilaporkan”</w:t>
      </w:r>
      <w:r>
        <w:rPr>
          <w:i/>
          <w:iCs/>
        </w:rPr>
        <w:t xml:space="preserve"> </w:t>
      </w:r>
      <w:r>
        <w:rPr>
          <w:i/>
          <w:iCs/>
        </w:rPr>
        <w:t xml:space="preserve">(centang hijau, endorsement polis terbit, klaim diproses), kanan</w:t>
      </w:r>
      <w:r>
        <w:rPr>
          <w:i/>
          <w:iCs/>
        </w:rPr>
        <w:t xml:space="preserve"> </w:t>
      </w:r>
      <w:r>
        <w:rPr>
          <w:i/>
          <w:iCs/>
        </w:rPr>
        <w:t xml:space="preserve">“Tidak Dilaporkan”</w:t>
      </w:r>
      <w:r>
        <w:rPr>
          <w:i/>
          <w:iCs/>
        </w:rPr>
        <w:t xml:space="preserve"> </w:t>
      </w:r>
      <w:r>
        <w:rPr>
          <w:i/>
          <w:iCs/>
        </w:rPr>
        <w:t xml:space="preserve">(silang merah, klaim terkait modifikasi ditolak). Teks Bahasa Indonesia, format mudah di-screenshot. Alt: perbandingan hasil klaim asuransi mobil BBG yang dilaporkan versus tidak dilaporkan.]</w:t>
      </w:r>
    </w:p>
    <w:p>
      <w:pPr>
        <w:pStyle w:val="BodyText"/>
      </w:pPr>
      <w:r>
        <w:t xml:space="preserve">Secara ringkas, tiga skenario yang mungkin terjadi:</w:t>
      </w:r>
    </w:p>
    <w:p>
      <w:pPr>
        <w:pStyle w:val="Compact"/>
        <w:numPr>
          <w:ilvl w:val="0"/>
          <w:numId w:val="1001"/>
        </w:numPr>
      </w:pPr>
      <w:r>
        <w:rPr>
          <w:b/>
          <w:bCs/>
        </w:rPr>
        <w:t xml:space="preserve">Dilaporkan dan disetujui:</w:t>
      </w:r>
      <w:r>
        <w:t xml:space="preserve"> </w:t>
      </w:r>
      <w:r>
        <w:t xml:space="preserve">endorsement polis diperbarui; pertanggungan berlanjut, dengan premi tetap atau naik sesuai penilaian ulang risiko.</w:t>
      </w:r>
    </w:p>
    <w:p>
      <w:pPr>
        <w:pStyle w:val="Compact"/>
        <w:numPr>
          <w:ilvl w:val="0"/>
          <w:numId w:val="1001"/>
        </w:numPr>
      </w:pPr>
      <w:r>
        <w:rPr>
          <w:b/>
          <w:bCs/>
        </w:rPr>
        <w:t xml:space="preserve">Dilaporkan, risiko dinilai terlalu tinggi:</w:t>
      </w:r>
      <w:r>
        <w:t xml:space="preserve"> </w:t>
      </w:r>
      <w:r>
        <w:t xml:space="preserve">penanggung berhak menghentikan pertanggungan disertai pengembalian premi.</w:t>
      </w:r>
    </w:p>
    <w:p>
      <w:pPr>
        <w:pStyle w:val="Compact"/>
        <w:numPr>
          <w:ilvl w:val="0"/>
          <w:numId w:val="1001"/>
        </w:numPr>
      </w:pPr>
      <w:r>
        <w:rPr>
          <w:b/>
          <w:bCs/>
        </w:rPr>
        <w:t xml:space="preserve">Tidak dilaporkan, kerugian terkait modifikasi:</w:t>
      </w:r>
      <w:r>
        <w:t xml:space="preserve"> </w:t>
      </w:r>
      <w:r>
        <w:t xml:space="preserve">klaim berisiko tinggi ditolak.</w:t>
      </w:r>
    </w:p>
    <w:p>
      <w:pPr>
        <w:pStyle w:val="FirstParagraph"/>
      </w:pPr>
      <w:r>
        <w:t xml:space="preserve">Satu catatan: PSAKBI adalah polis</w:t>
      </w:r>
      <w:r>
        <w:t xml:space="preserve"> </w:t>
      </w:r>
      <w:r>
        <w:rPr>
          <w:i/>
          <w:iCs/>
        </w:rPr>
        <w:t xml:space="preserve">standar</w:t>
      </w:r>
      <w:r>
        <w:t xml:space="preserve">. Banyak perusahaan memakainya sebagai basis tetapi bisa menambah klausul sendiri, dan penomoran pasal bisa berbeda antar-versi cetak. Perlakukan ini sebagai prinsip umum</w:t>
      </w:r>
      <w:r>
        <w:t xml:space="preserve"> </w:t>
      </w:r>
      <w:r>
        <w:t xml:space="preserve">“kewajiban lapor perubahan risiko”</w:t>
      </w:r>
      <w:r>
        <w:t xml:space="preserve">, lalu cek redaksi polis Anda masing-masing.</w:t>
      </w:r>
    </w:p>
    <w:bookmarkEnd w:id="23"/>
    <w:bookmarkStart w:id="26" w:name="X3d77a11bd3e68d72fa947942c798f1bee1765b7"/>
    <w:p>
      <w:pPr>
        <w:pStyle w:val="Heading2"/>
      </w:pPr>
      <w:r>
        <w:t xml:space="preserve">Yang Jarang Dibahas: Cara Memproteksi Garansi &amp; Asuransi Sekaligus</w:t>
      </w:r>
    </w:p>
    <w:p>
      <w:pPr>
        <w:pStyle w:val="FirstParagraph"/>
      </w:pPr>
      <w:r>
        <w:t xml:space="preserve">Untungnya, garansi dan asuransi bisa dijaga bersamaan lewat lima langkah sederhana, sebelum dan sesudah konversi. Intinya satu: menjaga jejak dokumen, karena baik klaim garansi maupun klaim asuransi sama-sama bertumpu pada bukti tertulis, bukan pada niat baik. Kelima langkah berikut menutup celah administratif yang paling sering memicu penolakan klaim di kemudian hari.</w:t>
      </w:r>
    </w:p>
    <w:p>
      <w:pPr>
        <w:pStyle w:val="BodyText"/>
      </w:pPr>
      <w:r>
        <w:rPr>
          <w:i/>
          <w:iCs/>
        </w:rPr>
        <w:t xml:space="preserve">[Image 03: Infografis timeline horizontal 5 langkah proteksi. Urutan: (1) konfirmasi ke ATPM, (2) bengkel bersertifikat, (3) lapor asuransi dalam 7 hari, (4) simpan sertifikat kit, (5) manfaatkan sifat reversibel bi-fuel. Ikon garis, nomor besar, warna biru-hijau, teks Bahasa Indonesia. Alt: lima langkah melindungi garansi dan asuransi saat konversi mobil ke BBG.]</w:t>
      </w:r>
    </w:p>
    <w:p>
      <w:pPr>
        <w:pStyle w:val="Compact"/>
        <w:numPr>
          <w:ilvl w:val="0"/>
          <w:numId w:val="1002"/>
        </w:numPr>
      </w:pPr>
      <w:r>
        <w:rPr>
          <w:b/>
          <w:bCs/>
        </w:rPr>
        <w:t xml:space="preserve">Konfirmasi tertulis ke ATPM/dealer resmi.</w:t>
      </w:r>
      <w:r>
        <w:t xml:space="preserve"> </w:t>
      </w:r>
      <w:r>
        <w:t xml:space="preserve">Tanyakan bagian garansi mana yang terpengaruh sebelum kit dipasang, dan simpan jawabannya.</w:t>
      </w:r>
    </w:p>
    <w:p>
      <w:pPr>
        <w:pStyle w:val="Compact"/>
        <w:numPr>
          <w:ilvl w:val="0"/>
          <w:numId w:val="1002"/>
        </w:numPr>
      </w:pPr>
      <w:r>
        <w:rPr>
          <w:b/>
          <w:bCs/>
        </w:rPr>
        <w:t xml:space="preserve">Pilih bengkel bersertifikat.</w:t>
      </w:r>
      <w:r>
        <w:t xml:space="preserve"> </w:t>
      </w:r>
      <w:hyperlink r:id="rId24">
        <w:r>
          <w:rPr>
            <w:rStyle w:val="Hyperlink"/>
          </w:rPr>
          <w:t xml:space="preserve">PM 39 Tahun 2012</w:t>
        </w:r>
      </w:hyperlink>
      <w:r>
        <w:t xml:space="preserve"> </w:t>
      </w:r>
      <w:r>
        <w:t xml:space="preserve">mewajibkan pemasangan sistem BBG di bengkel bersertifikat dengan teknisi kompeten. Modifikasi yang mengubah konstruksi dan material juga wajib uji tipe ulang (UU No. 22 Tahun 2009 tentang LLAJ, Pasal 52), dengan ancaman denda hingga Rp 24 juta bila diabaikan (Pasal 277).</w:t>
      </w:r>
    </w:p>
    <w:p>
      <w:pPr>
        <w:pStyle w:val="Compact"/>
        <w:numPr>
          <w:ilvl w:val="0"/>
          <w:numId w:val="1002"/>
        </w:numPr>
      </w:pPr>
      <w:r>
        <w:rPr>
          <w:b/>
          <w:bCs/>
        </w:rPr>
        <w:t xml:space="preserve">Lapor ke asuransi dalam 7 hari kalender.</w:t>
      </w:r>
      <w:r>
        <w:t xml:space="preserve"> </w:t>
      </w:r>
      <w:r>
        <w:t xml:space="preserve">Minta endorsement polis atas modifikasi tersebut, sesuai PSAKBI Pasal 8.</w:t>
      </w:r>
    </w:p>
    <w:p>
      <w:pPr>
        <w:pStyle w:val="Compact"/>
        <w:numPr>
          <w:ilvl w:val="0"/>
          <w:numId w:val="1002"/>
        </w:numPr>
      </w:pPr>
      <w:r>
        <w:rPr>
          <w:b/>
          <w:bCs/>
        </w:rPr>
        <w:t xml:space="preserve">Simpan sertifikat converter kit dan bukti uji.</w:t>
      </w:r>
      <w:r>
        <w:t xml:space="preserve"> </w:t>
      </w:r>
      <w:r>
        <w:t xml:space="preserve">Kit wajib ber-SNI (Permenperin 70/2012), dan dokumen inilah yang menopang klaim garansi kit maupun klaim asuransi.</w:t>
      </w:r>
    </w:p>
    <w:p>
      <w:pPr>
        <w:pStyle w:val="Compact"/>
        <w:numPr>
          <w:ilvl w:val="0"/>
          <w:numId w:val="1002"/>
        </w:numPr>
      </w:pPr>
      <w:r>
        <w:rPr>
          <w:b/>
          <w:bCs/>
        </w:rPr>
        <w:t xml:space="preserve">Manfaatkan sifat reversibel bi-fuel.</w:t>
      </w:r>
      <w:r>
        <w:t xml:space="preserve"> </w:t>
      </w:r>
      <w:r>
        <w:t xml:space="preserve">Kemampuan kembali ke bensin menjadi nilai tambah saat menjual mobil atau bila sewaktu-waktu ingin melepas sistem gas.</w:t>
      </w:r>
    </w:p>
    <w:p>
      <w:pPr>
        <w:pStyle w:val="FirstParagraph"/>
      </w:pPr>
      <w:r>
        <w:t xml:space="preserve">Bagi pemilik armada, memilih penyedia BBG yang tertata memudahkan jejak dokumen: PGN Gagas menyalurkan Gasku lewat jaringan SPBG (Stasiun Pengisian Bahan Bakar Gas) resmi, sementara untuk kebutuhan energi pabrik atau usaha tersedia</w:t>
      </w:r>
      <w:r>
        <w:t xml:space="preserve"> </w:t>
      </w:r>
      <w:hyperlink r:id="rId25">
        <w:r>
          <w:rPr>
            <w:rStyle w:val="Hyperlink"/>
          </w:rPr>
          <w:t xml:space="preserve">Gaslink untuk industri dan komersial</w:t>
        </w:r>
      </w:hyperlink>
      <w:r>
        <w:t xml:space="preserve"> </w:t>
      </w:r>
      <w:r>
        <w:t xml:space="preserve">pada segmen berbeda.</w:t>
      </w:r>
    </w:p>
    <w:bookmarkEnd w:id="26"/>
    <w:bookmarkStart w:id="33" w:name="faq-pertanyaan-yang-sering-diajukan"/>
    <w:p>
      <w:pPr>
        <w:pStyle w:val="Heading2"/>
      </w:pPr>
      <w:r>
        <w:t xml:space="preserve">FAQ (Pertanyaan yang Sering Diajukan)</w:t>
      </w:r>
    </w:p>
    <w:bookmarkStart w:id="27" w:name="X3d2176a6ec746b193e53880b2a35701a7cdad5c"/>
    <w:p>
      <w:pPr>
        <w:pStyle w:val="Heading3"/>
      </w:pPr>
      <w:r>
        <w:t xml:space="preserve">Apakah konversi BBG pasti membuat garansi mobil hangus?</w:t>
      </w:r>
    </w:p>
    <w:p>
      <w:pPr>
        <w:pStyle w:val="FirstParagraph"/>
      </w:pPr>
      <w:r>
        <w:t xml:space="preserve">Tidak selalu seluruh garansi hangus. Konversi mengubah sistem bahan bakar, sehingga risiko biasanya terbatas pada komponen yang tersentuh: mesin, injeksi, dan kelistrikan terkait. Karena kebijakan berbeda antar-ATPM, langkah teraman adalah meminta konfirmasi tertulis ke dealer resmi sebelum memasang converter kit.</w:t>
      </w:r>
    </w:p>
    <w:bookmarkEnd w:id="27"/>
    <w:bookmarkStart w:id="28" w:name="X2c6efe1f435817435c4df616e68630a4e3f628c"/>
    <w:p>
      <w:pPr>
        <w:pStyle w:val="Heading3"/>
      </w:pPr>
      <w:r>
        <w:t xml:space="preserve">Apakah asuransi all-risk otomatis menolak klaim mobil BBG?</w:t>
      </w:r>
    </w:p>
    <w:p>
      <w:pPr>
        <w:pStyle w:val="FirstParagraph"/>
      </w:pPr>
      <w:r>
        <w:t xml:space="preserve">Tidak otomatis. Menurut PSAKBI Pasal 8, pemasangan converter kit wajib dilaporkan ke asuransi paling lambat 7 hari kalender. Jika dilaporkan dan disetujui, pertanggungan bisa berlanjut dengan premi tetap atau lebih tinggi. Klaim baru berisiko ditolak bila modifikasi tidak dilaporkan dan kerugiannya terkait modifikasi tersebut.</w:t>
      </w:r>
    </w:p>
    <w:bookmarkEnd w:id="28"/>
    <w:bookmarkStart w:id="29" w:name="Xc1d25c74dd2c85300ee7638eddaa0b399d36f29"/>
    <w:p>
      <w:pPr>
        <w:pStyle w:val="Heading3"/>
      </w:pPr>
      <w:r>
        <w:t xml:space="preserve">Bagaimana prosedur melapor konversi BBG ke perusahaan asuransi?</w:t>
      </w:r>
    </w:p>
    <w:p>
      <w:pPr>
        <w:pStyle w:val="FirstParagraph"/>
      </w:pPr>
      <w:r>
        <w:t xml:space="preserve">Segera setelah converter kit terpasang, hubungi agen atau layanan pelanggan asuransi untuk melaporkan perubahan kendaraan sesuai PSAKBI Pasal 8, idealnya dalam 7 hari kalender. Sertakan sertifikat converter kit dan bukti pemasangan di bengkel bersertifikat, lalu tunggu konfirmasi endorsement polis dari penanggung.</w:t>
      </w:r>
    </w:p>
    <w:bookmarkEnd w:id="29"/>
    <w:bookmarkStart w:id="30" w:name="Xe591140f4a82e6ed8acbd5a34842d960093eaab"/>
    <w:p>
      <w:pPr>
        <w:pStyle w:val="Heading3"/>
      </w:pPr>
      <w:r>
        <w:t xml:space="preserve">Apakah konversi Gasku bisa dikembalikan ke bensin?</w:t>
      </w:r>
    </w:p>
    <w:p>
      <w:pPr>
        <w:pStyle w:val="FirstParagraph"/>
      </w:pPr>
      <w:r>
        <w:t xml:space="preserve">Bisa. Kendaraan yang dilengkapi converter kit umumnya bersifat bi-fuel: ada tombol pemilih yang memungkinkan pengemudi berpindah antara bensin dan gas sesuai kebutuhan. Sifat reversibel ini juga menjadi nilai tambah saat menjual kembali kendaraan atau bila sewaktu-waktu ingin kembali sepenuhnya memakai BBM.</w:t>
      </w:r>
    </w:p>
    <w:bookmarkEnd w:id="30"/>
    <w:bookmarkStart w:id="31" w:name="X4750ba87c501719e3bc8deca2117850b3523ea3"/>
    <w:p>
      <w:pPr>
        <w:pStyle w:val="Heading3"/>
      </w:pPr>
      <w:r>
        <w:t xml:space="preserve">Apakah mobil baru yang masih bergaransi sebaiknya langsung dikonversi?</w:t>
      </w:r>
    </w:p>
    <w:p>
      <w:pPr>
        <w:pStyle w:val="FirstParagraph"/>
      </w:pPr>
      <w:r>
        <w:t xml:space="preserve">Sebaiknya tidak terburu-buru. Karena konversi berpotensi menyentuh komponen yang dilindungi garansi, pemilik mobil baru disarankan mengonfirmasi tertulis ke ATPM lebih dulu, menimbang sisa masa garansi, dan memilih bengkel bersertifikat agar dokumentasi lengkap bila kelak dibutuhkan untuk klaim garansi atau asuransi.</w:t>
      </w:r>
    </w:p>
    <w:bookmarkEnd w:id="31"/>
    <w:bookmarkStart w:id="32" w:name="Xd3ded7f6a3ec48ef227c5e93a7e30dc8b5f7586"/>
    <w:p>
      <w:pPr>
        <w:pStyle w:val="Heading3"/>
      </w:pPr>
      <w:r>
        <w:t xml:space="preserve">Apakah semua converter kit BBG di Indonesia legal dipasang?</w:t>
      </w:r>
    </w:p>
    <w:p>
      <w:pPr>
        <w:pStyle w:val="FirstParagraph"/>
      </w:pPr>
      <w:r>
        <w:t xml:space="preserve">Tidak semua. Permenperin No. 70/M-IND/PER/7/2012 mewajibkan converter kit dan tangki CNG bersertifikat sesuai SNI (misalnya SNI ISO 7407:2009) atau standar internasional setara sebelum boleh diedarkan dan dipasang. Memilih kit tanpa sertifikat berisiko pada aspek keselamatan sekaligus legalitas dokumen kendaraan.</w:t>
      </w:r>
    </w:p>
    <w:bookmarkEnd w:id="32"/>
    <w:bookmarkEnd w:id="33"/>
    <w:bookmarkStart w:id="34" w:name="kesimpulan"/>
    <w:p>
      <w:pPr>
        <w:pStyle w:val="Heading2"/>
      </w:pPr>
      <w:r>
        <w:t xml:space="preserve">Kesimpulan</w:t>
      </w:r>
    </w:p>
    <w:p>
      <w:pPr>
        <w:pStyle w:val="FirstParagraph"/>
      </w:pPr>
      <w:r>
        <w:t xml:space="preserve">Keraguan soal garansi dan asuransi sebenarnya diselesaikan dengan dokumentasi, bukan dengan membatalkan rencana konversi. Selama Anda konfirmasi ke pabrikan, memasang di bengkel bersertifikat, dan melapor ke asuransi dalam 7 hari kalender, hak-hak Anda tetap terjaga. Lewat Gasku untuk transportasi dan Gaslink untuk industri serta komersial, PGN Gagas menyalurkan energi gas bumi yang lebih bersih dan efisien ke segmen</w:t>
      </w:r>
      <w:r>
        <w:t xml:space="preserve"> </w:t>
      </w:r>
      <w:r>
        <w:rPr>
          <w:i/>
          <w:iCs/>
        </w:rPr>
        <w:t xml:space="preserve">beyond pipeline</w:t>
      </w:r>
      <w:r>
        <w:t xml:space="preserve"> </w:t>
      </w:r>
      <w:r>
        <w:t xml:space="preserve">melalui jaringan SPBG resmi, jalur yang menjaga jejak dokumen penting bagi klaim garansi maupun asuransi.</w:t>
      </w:r>
    </w:p>
    <w:p>
      <w:pPr>
        <w:pStyle w:val="BodyText"/>
      </w:pPr>
      <w:r>
        <w:t xml:space="preserve">Untuk mendiskusikan kesiapan beralih ke Gasku dan memastikan pasokan BBG yang tertata bagi kendaraan Anda, kunjungi gagas.co.id.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gagas.co.id/gasku/" TargetMode="External" /><Relationship Type="http://schemas.openxmlformats.org/officeDocument/2006/relationships/hyperlink" Id="rId25" Target="https://gagas.co.id/gaslink/" TargetMode="External" /><Relationship Type="http://schemas.openxmlformats.org/officeDocument/2006/relationships/hyperlink" Id="rId18" Target="https://gagas.co.id/perusahaan-cng-indonesia/" TargetMode="External" /><Relationship Type="http://schemas.openxmlformats.org/officeDocument/2006/relationships/hyperlink" Id="rId24" Target="https://jdih.kemenhub.go.id" TargetMode="External" /><Relationship Type="http://schemas.openxmlformats.org/officeDocument/2006/relationships/hyperlink" Id="rId21" Target="https://peraturan.go.id/id/permenperin-no-70-m-ind-per-7-2012-tahun-2012" TargetMode="External" /></Relationships>
</file>

<file path=word/_rels/footnotes.xml.rels><?xml version="1.0" encoding="UTF-8"?><Relationships xmlns="http://schemas.openxmlformats.org/package/2006/relationships"><Relationship Type="http://schemas.openxmlformats.org/officeDocument/2006/relationships/hyperlink" Id="rId17" Target="https://gagas.co.id/gasku/" TargetMode="External" /><Relationship Type="http://schemas.openxmlformats.org/officeDocument/2006/relationships/hyperlink" Id="rId25" Target="https://gagas.co.id/gaslink/" TargetMode="External" /><Relationship Type="http://schemas.openxmlformats.org/officeDocument/2006/relationships/hyperlink" Id="rId18" Target="https://gagas.co.id/perusahaan-cng-indonesia/" TargetMode="External" /><Relationship Type="http://schemas.openxmlformats.org/officeDocument/2006/relationships/hyperlink" Id="rId24" Target="https://jdih.kemenhub.go.id" TargetMode="External" /><Relationship Type="http://schemas.openxmlformats.org/officeDocument/2006/relationships/hyperlink" Id="rId21" Target="https://peraturan.go.id/id/permenperin-no-70-m-ind-per-7-2012-tahun-201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2026-09-21T04:11:34Z</dcterms:created>
  <dcterms:modified xsi:type="dcterms:W3CDTF">2026-09-21T04:11:34Z</dcterms:modified>
</cp:coreProperties>
</file>

<file path=docProps/custom.xml><?xml version="1.0" encoding="utf-8"?>
<Properties xmlns="http://schemas.openxmlformats.org/officeDocument/2006/custom-properties" xmlns:vt="http://schemas.openxmlformats.org/officeDocument/2006/docPropsVTypes"/>
</file>