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"Biaya Beralih ke Gaslink: CAPEX, Retrofit, dan Model Tanpa Modal"</w:t>
      </w:r>
      <w:r>
        <w:br/>
      </w:r>
      <w:r>
        <w:rPr>
          <w:rStyle w:val="FunctionTok"/>
        </w:rPr>
        <w:t xml:space="preserve">meta_title</w:t>
      </w:r>
      <w:r>
        <w:rPr>
          <w:rStyle w:val="KeywordTok"/>
        </w:rPr>
        <w:t xml:space="preserve">:</w:t>
      </w:r>
      <w:r>
        <w:rPr>
          <w:rStyle w:val="AttributeTok"/>
        </w:rPr>
        <w:t xml:space="preserve"> </w:t>
      </w:r>
      <w:r>
        <w:rPr>
          <w:rStyle w:val="StringTok"/>
        </w:rPr>
        <w:t xml:space="preserve">"Biaya Beralih ke Gaslink: CAPEX &amp; Model Investasi"</w:t>
      </w:r>
      <w:r>
        <w:br/>
      </w:r>
      <w:r>
        <w:rPr>
          <w:rStyle w:val="FunctionTok"/>
        </w:rPr>
        <w:t xml:space="preserve">meta_description</w:t>
      </w:r>
      <w:r>
        <w:rPr>
          <w:rStyle w:val="KeywordTok"/>
        </w:rPr>
        <w:t xml:space="preserve">:</w:t>
      </w:r>
      <w:r>
        <w:rPr>
          <w:rStyle w:val="AttributeTok"/>
        </w:rPr>
        <w:t xml:space="preserve"> </w:t>
      </w:r>
      <w:r>
        <w:rPr>
          <w:rStyle w:val="StringTok"/>
        </w:rPr>
        <w:t xml:space="preserve">"Rincian biaya beralih ke Gaslink: komponen CAPEX (PRS, retrofit burner, metering), model tanpa modal, dan cara membaca payback konversi gas bumi secara jujur."</w:t>
      </w:r>
      <w:r>
        <w:br/>
      </w:r>
      <w:r>
        <w:rPr>
          <w:rStyle w:val="FunctionTok"/>
        </w:rPr>
        <w:t xml:space="preserve">slug</w:t>
      </w:r>
      <w:r>
        <w:rPr>
          <w:rStyle w:val="KeywordTok"/>
        </w:rPr>
        <w:t xml:space="preserve">:</w:t>
      </w:r>
      <w:r>
        <w:rPr>
          <w:rStyle w:val="AttributeTok"/>
        </w:rPr>
        <w:t xml:space="preserve"> </w:t>
      </w:r>
      <w:r>
        <w:rPr>
          <w:rStyle w:val="StringTok"/>
        </w:rPr>
        <w:t xml:space="preserve">"biaya-beralih-ke-gaslink-capex-konversi"</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"Gaslink"</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"biaya konversi ke gas bumi"</w:t>
      </w:r>
      <w:r>
        <w:rPr>
          <w:rStyle w:val="KeywordTok"/>
        </w:rPr>
        <w:t xml:space="preserve">,</w:t>
      </w:r>
      <w:r>
        <w:rPr>
          <w:rStyle w:val="AttributeTok"/>
        </w:rPr>
        <w:t xml:space="preserve"> </w:t>
      </w:r>
      <w:r>
        <w:rPr>
          <w:rStyle w:val="StringTok"/>
        </w:rPr>
        <w:t xml:space="preserve">"CAPEX instalasi gas industri"</w:t>
      </w:r>
      <w:r>
        <w:rPr>
          <w:rStyle w:val="KeywordTok"/>
        </w:rPr>
        <w:t xml:space="preserve">,</w:t>
      </w:r>
      <w:r>
        <w:rPr>
          <w:rStyle w:val="AttributeTok"/>
        </w:rPr>
        <w:t xml:space="preserve"> </w:t>
      </w:r>
      <w:r>
        <w:rPr>
          <w:rStyle w:val="StringTok"/>
        </w:rPr>
        <w:t xml:space="preserve">"Pressure Reducing System (PRS)"</w:t>
      </w:r>
      <w:r>
        <w:rPr>
          <w:rStyle w:val="KeywordTok"/>
        </w:rPr>
        <w:t xml:space="preserve">,</w:t>
      </w:r>
      <w:r>
        <w:rPr>
          <w:rStyle w:val="AttributeTok"/>
        </w:rPr>
        <w:t xml:space="preserve"> </w:t>
      </w:r>
      <w:r>
        <w:rPr>
          <w:rStyle w:val="StringTok"/>
        </w:rPr>
        <w:t xml:space="preserve">"retrofit burner solar ke gas"</w:t>
      </w:r>
      <w:r>
        <w:rPr>
          <w:rStyle w:val="KeywordTok"/>
        </w:rPr>
        <w:t xml:space="preserve">,</w:t>
      </w:r>
      <w:r>
        <w:rPr>
          <w:rStyle w:val="AttributeTok"/>
        </w:rPr>
        <w:t xml:space="preserve"> </w:t>
      </w:r>
      <w:r>
        <w:rPr>
          <w:rStyle w:val="StringTok"/>
        </w:rPr>
        <w:t xml:space="preserve">"turbine meter gas"</w:t>
      </w:r>
      <w:r>
        <w:rPr>
          <w:rStyle w:val="KeywordTok"/>
        </w:rPr>
        <w:t xml:space="preserve">,</w:t>
      </w:r>
      <w:r>
        <w:rPr>
          <w:rStyle w:val="AttributeTok"/>
        </w:rPr>
        <w:t xml:space="preserve"> </w:t>
      </w:r>
      <w:r>
        <w:rPr>
          <w:rStyle w:val="StringTok"/>
        </w:rPr>
        <w:t xml:space="preserve">"payback konversi energi"</w:t>
      </w:r>
      <w:r>
        <w:rPr>
          <w:rStyle w:val="KeywordTok"/>
        </w:rPr>
        <w:t xml:space="preserve">,</w:t>
      </w:r>
      <w:r>
        <w:rPr>
          <w:rStyle w:val="AttributeTok"/>
        </w:rPr>
        <w:t xml:space="preserve"> </w:t>
      </w:r>
      <w:r>
        <w:rPr>
          <w:rStyle w:val="StringTok"/>
        </w:rPr>
        <w:t xml:space="preserve">"model tanpa CAPEX"</w:t>
      </w:r>
      <w:r>
        <w:rPr>
          <w:rStyle w:val="KeywordTok"/>
        </w:rPr>
        <w:t xml:space="preserve">,</w:t>
      </w:r>
      <w:r>
        <w:rPr>
          <w:rStyle w:val="AttributeTok"/>
        </w:rPr>
        <w:t xml:space="preserve"> </w:t>
      </w:r>
      <w:r>
        <w:rPr>
          <w:rStyle w:val="StringTok"/>
        </w:rPr>
        <w:t xml:space="preserve">"Gas Transportation Module (GTM)"</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"penyedia CNG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"https://gagas.co.id/gasku/"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"Gasku untuk sektor transportasi"</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"https://www.esdm.go.id/"</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"Skema HGBT USD 7/6,5 per MMBTU (Kepmen ESDM 76.K/2025) sebagai konteks kebijakan harga gas industri"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"https://sikapiuangmu.ojk.go.id/"</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dan kerangka resmi leasing/sewa guna usaha yang mendasari konsep model tanpa-CAPEX"</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"https://ejournal.undip.ac.id/index.php/rotasi/article/view/4631"</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"Studi kasus konversi boiler solar ke gas untuk ilustrasi payback tanpa CAPEX terhitung"</w:t>
      </w:r>
      <w:r>
        <w:br/>
      </w:r>
      <w:r>
        <w:rPr>
          <w:rStyle w:val="FunctionTok"/>
        </w:rPr>
        <w:t xml:space="preserve">brief_id</w:t>
      </w:r>
      <w:r>
        <w:rPr>
          <w:rStyle w:val="KeywordTok"/>
        </w:rPr>
        <w:t xml:space="preserve">:</w:t>
      </w:r>
      <w:r>
        <w:rPr>
          <w:rStyle w:val="AttributeTok"/>
        </w:rPr>
        <w:t xml:space="preserve"> </w:t>
      </w:r>
      <w:r>
        <w:rPr>
          <w:rStyle w:val="StringTok"/>
        </w:rPr>
        <w:t xml:space="preserve">"gaslink-01"</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word_count</w:t>
      </w:r>
      <w:r>
        <w:rPr>
          <w:rStyle w:val="KeywordTok"/>
        </w:rPr>
        <w:t xml:space="preserve">:</w:t>
      </w:r>
      <w:r>
        <w:rPr>
          <w:rStyle w:val="AttributeTok"/>
        </w:rPr>
        <w:t xml:space="preserve"> </w:t>
      </w:r>
      <w:r>
        <w:rPr>
          <w:rStyle w:val="DecValTok"/>
        </w:rPr>
        <w:t xml:space="preserve">1515</w:t>
      </w:r>
    </w:p>
    <w:p>
      <w:r>
        <w:pict>
          <v:rect style="width:0;height:1.5pt" o:hralign="center" o:hrstd="t" o:hr="t"/>
        </w:pict>
      </w:r>
    </w:p>
    <w:bookmarkEnd w:id="16"/>
    <w:bookmarkStart w:id="33" w:name="X0fddf6d0c0be0680beba5fd1a05d99519b65325"/>
    <w:p>
      <w:pPr>
        <w:pStyle w:val="Heading1"/>
      </w:pPr>
      <w:r>
        <w:t xml:space="preserve">Biaya Beralih ke Gaslink: CAPEX, Retrofit, dan Model Tanpa Modal</w:t>
      </w:r>
    </w:p>
    <w:p>
      <w:pPr>
        <w:pStyle w:val="FirstParagraph"/>
      </w:pPr>
      <w:r>
        <w:t xml:space="preserve">Angka penghematan bahan bakar sudah Anda hitung dan business case ke gas bumi terlihat menarik, tapi satu pertanyaan menahan tanda tangan: berapa modal yang harus keluar dulu sebelum penghematan itu terasa? Di banyak proposal konversi, justru sisi inilah yang paling kabur. Artikel ini membedah biaya beralih ke</w:t>
      </w:r>
      <w:r>
        <w:t xml:space="preserve"> </w:t>
      </w:r>
      <w:hyperlink r:id="rId17">
        <w:r>
          <w:rPr>
            <w:rStyle w:val="Hyperlink"/>
          </w:rPr>
          <w:t xml:space="preserve">Gaslink</w:t>
        </w:r>
      </w:hyperlink>
      <w:r>
        <w:t xml:space="preserve"> </w:t>
      </w:r>
      <w:r>
        <w:t xml:space="preserve">dari sudut investasi: komponen CAPEX satu kali (instalasi PRS, retrofit burner, metering), pilihan model tanpa modal, sampai cara membaca payback dengan jujur, untuk manajer produksi dan procurement yang sedang menyusun angka.</w:t>
      </w:r>
    </w:p>
    <w:p>
      <w:pPr>
        <w:pStyle w:val="BlockText"/>
      </w:pPr>
      <w:r>
        <w:rPr>
          <w:b/>
          <w:bCs/>
        </w:rPr>
        <w:t xml:space="preserve">Secara singkat:</w:t>
      </w:r>
      <w:r>
        <w:t xml:space="preserve"> </w:t>
      </w:r>
      <w:r>
        <w:t xml:space="preserve">CAPEX konversi ke Gaslink adalah modal awal satu kali untuk instalasi</w:t>
      </w:r>
      <w:r>
        <w:t xml:space="preserve"> </w:t>
      </w:r>
      <w:r>
        <w:rPr>
          <w:i/>
          <w:iCs/>
        </w:rPr>
        <w:t xml:space="preserve">Pressure Reducing System</w:t>
      </w:r>
      <w:r>
        <w:t xml:space="preserve"> </w:t>
      </w:r>
      <w:r>
        <w:t xml:space="preserve">(PRS), retrofit burner dari solar atau LPG ke gas, dan pemasangan meter. Ini terpisah dari OPEX, yaitu biaya gas bumi berjalan yang dibayar sesuai volume pemakaian aktual (MMBTU) setelah instalasi selesai dan gas mengalir.</w:t>
      </w:r>
    </w:p>
    <w:p>
      <w:pPr>
        <w:pStyle w:val="FirstParagraph"/>
      </w:pPr>
      <w:r>
        <w:rPr>
          <w:i/>
          <w:iCs/>
        </w:rPr>
        <w:t xml:space="preserve">[Image 01: Infografik dua baris. Baris atas</w:t>
      </w:r>
      <w:r>
        <w:rPr>
          <w:i/>
          <w:iCs/>
        </w:rPr>
        <w:t xml:space="preserve"> </w:t>
      </w:r>
      <w:r>
        <w:rPr>
          <w:i/>
          <w:iCs/>
        </w:rPr>
        <w:t xml:space="preserve">“CAPEX (satu kali)”</w:t>
      </w:r>
      <w:r>
        <w:rPr>
          <w:i/>
          <w:iCs/>
        </w:rPr>
        <w:t xml:space="preserve"> </w:t>
      </w:r>
      <w:r>
        <w:rPr>
          <w:i/>
          <w:iCs/>
        </w:rPr>
        <w:t xml:space="preserve">berisi ikon survei, PRS, retrofit burner, metering; baris bawah</w:t>
      </w:r>
      <w:r>
        <w:rPr>
          <w:i/>
          <w:iCs/>
        </w:rPr>
        <w:t xml:space="preserve"> </w:t>
      </w:r>
      <w:r>
        <w:rPr>
          <w:i/>
          <w:iCs/>
        </w:rPr>
        <w:t xml:space="preserve">“OPEX (berulang)”</w:t>
      </w:r>
      <w:r>
        <w:rPr>
          <w:i/>
          <w:iCs/>
        </w:rPr>
        <w:t xml:space="preserve"> </w:t>
      </w:r>
      <w:r>
        <w:rPr>
          <w:i/>
          <w:iCs/>
        </w:rPr>
        <w:t xml:space="preserve">berisi aliran harga gas per MMBTU; titik temu keduanya ditandai</w:t>
      </w:r>
      <w:r>
        <w:rPr>
          <w:i/>
          <w:iCs/>
        </w:rPr>
        <w:t xml:space="preserve"> </w:t>
      </w:r>
      <w:r>
        <w:rPr>
          <w:i/>
          <w:iCs/>
        </w:rPr>
        <w:t xml:space="preserve">“payback”</w:t>
      </w:r>
      <w:r>
        <w:rPr>
          <w:i/>
          <w:iCs/>
        </w:rPr>
        <w:t xml:space="preserve">. Warna biru-hijau, teks Bahasa Indonesia. Alt: pemisahan biaya CAPEX dan OPEX konversi Gaslink.]</w:t>
      </w:r>
    </w:p>
    <w:bookmarkStart w:id="18" w:name="X4c3e7d3c976e2b7eeb53e7a8d5d86dd5dc25a79"/>
    <w:p>
      <w:pPr>
        <w:pStyle w:val="Heading2"/>
      </w:pPr>
      <w:r>
        <w:t xml:space="preserve">Apa Saja Komponen Biaya saat Beralih ke Gaslink?</w:t>
      </w:r>
    </w:p>
    <w:p>
      <w:pPr>
        <w:pStyle w:val="FirstParagraph"/>
      </w:pPr>
      <w:r>
        <w:t xml:space="preserve">Biaya beralih ke Gaslink terdiri dari dua lapis yang harus dipisah tegas. Lapis pertama adalah CAPEX, yakni belanja modal satu kali untuk survei, instalasi PRS, retrofit peralatan, dan metering. Lapis kedua adalah OPEX, yaitu biaya berulang, terutama harga gas per MMBTU yang dibayar sesuai pemakaian aktual.</w:t>
      </w:r>
    </w:p>
    <w:p>
      <w:pPr>
        <w:pStyle w:val="BodyText"/>
      </w:pPr>
      <w:r>
        <w:rPr>
          <w:i/>
          <w:iCs/>
        </w:rPr>
        <w:t xml:space="preserve">CAPEX</w:t>
      </w:r>
      <w:r>
        <w:t xml:space="preserve"> </w:t>
      </w:r>
      <w:r>
        <w:t xml:space="preserve">(</w:t>
      </w:r>
      <w:r>
        <w:rPr>
          <w:i/>
          <w:iCs/>
        </w:rPr>
        <w:t xml:space="preserve">capital expenditure</w:t>
      </w:r>
      <w:r>
        <w:t xml:space="preserve">, belanja modal) dan</w:t>
      </w:r>
      <w:r>
        <w:t xml:space="preserve"> </w:t>
      </w:r>
      <w:r>
        <w:rPr>
          <w:i/>
          <w:iCs/>
        </w:rPr>
        <w:t xml:space="preserve">OPEX</w:t>
      </w:r>
      <w:r>
        <w:t xml:space="preserve"> </w:t>
      </w:r>
      <w:r>
        <w:t xml:space="preserve">(</w:t>
      </w:r>
      <w:r>
        <w:rPr>
          <w:i/>
          <w:iCs/>
        </w:rPr>
        <w:t xml:space="preserve">operating expenditure</w:t>
      </w:r>
      <w:r>
        <w:t xml:space="preserve">, biaya operasional) bukan sekadar istilah akuntansi. Mencampurnya adalah alasan paling umum angka payback jadi keliru: modal instalasi keluar sekali, biaya gas mengalir tiap bulan selama pabrik beroperasi.</w:t>
      </w:r>
    </w:p>
    <w:p>
      <w:pPr>
        <w:pStyle w:val="BodyText"/>
      </w:pPr>
      <w:r>
        <w:t xml:space="preserve">Pembagiannya kira-kira begini:</w:t>
      </w:r>
    </w:p>
    <w:p>
      <w:pPr>
        <w:pStyle w:val="Compact"/>
        <w:numPr>
          <w:ilvl w:val="0"/>
          <w:numId w:val="1001"/>
        </w:numPr>
      </w:pPr>
      <w:r>
        <w:rPr>
          <w:b/>
          <w:bCs/>
        </w:rPr>
        <w:t xml:space="preserve">Masuk CAPEX (satu kali):</w:t>
      </w:r>
      <w:r>
        <w:t xml:space="preserve"> </w:t>
      </w:r>
      <w:r>
        <w:t xml:space="preserve">survei dan</w:t>
      </w:r>
      <w:r>
        <w:t xml:space="preserve"> </w:t>
      </w:r>
      <w:r>
        <w:rPr>
          <w:i/>
          <w:iCs/>
        </w:rPr>
        <w:t xml:space="preserve">sizing</w:t>
      </w:r>
      <w:r>
        <w:t xml:space="preserve"> </w:t>
      </w:r>
      <w:r>
        <w:t xml:space="preserve">kebutuhan, instalasi PRS, retrofit burner, pemasangan meter, penyesuaian jalur pipa di lokasi.</w:t>
      </w:r>
    </w:p>
    <w:p>
      <w:pPr>
        <w:pStyle w:val="Compact"/>
        <w:numPr>
          <w:ilvl w:val="0"/>
          <w:numId w:val="1001"/>
        </w:numPr>
      </w:pPr>
      <w:r>
        <w:rPr>
          <w:b/>
          <w:bCs/>
        </w:rPr>
        <w:t xml:space="preserve">Masuk OPEX (berulang):</w:t>
      </w:r>
      <w:r>
        <w:t xml:space="preserve"> </w:t>
      </w:r>
      <w:r>
        <w:t xml:space="preserve">harga gas per volume (Rp/MMBTU), dan bila memakai skema sewa, cicilan infrastruktur yang teramortisasi dalam tarif.</w:t>
      </w:r>
    </w:p>
    <w:p>
      <w:pPr>
        <w:pStyle w:val="FirstParagraph"/>
      </w:pPr>
      <w:r>
        <w:t xml:space="preserve">Soal OPEX, harga gas industri sering dibahas lewat kebijakan Harga Gas Bumi Tertentu (HGBT): Kepmen ESDM No. 76.K/2025 mematoknya USD 7/MMBTU untuk bahan bakar dan USD 6,5/MMBTU untuk bahan baku (Kementerian ESDM, 2025). Namun HGBT hanya berlaku bagi tujuh sektor industri terdaftar. Pelanggan CNG</w:t>
      </w:r>
      <w:r>
        <w:t xml:space="preserve"> </w:t>
      </w:r>
      <w:r>
        <w:rPr>
          <w:i/>
          <w:iCs/>
        </w:rPr>
        <w:t xml:space="preserve">beyond-pipeline</w:t>
      </w:r>
      <w:r>
        <w:t xml:space="preserve"> </w:t>
      </w:r>
      <w:r>
        <w:t xml:space="preserve">seperti Gaslink bukan penerima otomatis, jadi jangan memakai angka itu sebagai patokan tarif Anda.</w:t>
      </w:r>
    </w:p>
    <w:bookmarkEnd w:id="18"/>
    <w:bookmarkStart w:id="19" w:name="X5ed52f9788c4013eff46d6a675b855f5393da29"/>
    <w:p>
      <w:pPr>
        <w:pStyle w:val="Heading2"/>
      </w:pPr>
      <w:r>
        <w:t xml:space="preserve">Berapa Kisaran Modal Awal dan Apa yang Menentukannya?</w:t>
      </w:r>
    </w:p>
    <w:p>
      <w:pPr>
        <w:pStyle w:val="FirstParagraph"/>
      </w:pPr>
      <w:r>
        <w:t xml:space="preserve">Tidak ada angka baku publik untuk CAPEX konversi CNG di Indonesia, dan itu bukan kelemahan artikel ini melainkan kenyataan lapangan: besarannya memang sangat bergantung pada kasus. Empat faktor paling menentukan adalah tingkat konsumsi gas, jumlah dan jenis peralatan pembakaran, tekanan kerja, serta jarak dan akses lokasi ke titik pasokan.</w:t>
      </w:r>
    </w:p>
    <w:p>
      <w:pPr>
        <w:pStyle w:val="BodyText"/>
      </w:pPr>
      <w:r>
        <w:t xml:space="preserve">Siapa pun yang menyodorkan satu nominal seragam untuk</w:t>
      </w:r>
      <w:r>
        <w:t xml:space="preserve"> </w:t>
      </w:r>
      <w:r>
        <w:t xml:space="preserve">“biaya konversi ke gas bumi”</w:t>
      </w:r>
      <w:r>
        <w:t xml:space="preserve"> </w:t>
      </w:r>
      <w:r>
        <w:t xml:space="preserve">tanpa menyurvei lokasi Anda sedang menebak. Yang bisa dipetakan jujur adalah faktor pendorongnya:</w:t>
      </w:r>
    </w:p>
    <w:p>
      <w:pPr>
        <w:pStyle w:val="Compact"/>
        <w:numPr>
          <w:ilvl w:val="0"/>
          <w:numId w:val="1002"/>
        </w:numPr>
      </w:pPr>
      <w:r>
        <w:rPr>
          <w:b/>
          <w:bCs/>
        </w:rPr>
        <w:t xml:space="preserve">Tingkat konsumsi gas.</w:t>
      </w:r>
      <w:r>
        <w:t xml:space="preserve"> </w:t>
      </w:r>
      <w:r>
        <w:t xml:space="preserve">Makin besar volume harian (MMBTU/hari), makin besar kapasitas PRS dan jalur yang dibutuhkan.</w:t>
      </w:r>
    </w:p>
    <w:p>
      <w:pPr>
        <w:pStyle w:val="Compact"/>
        <w:numPr>
          <w:ilvl w:val="0"/>
          <w:numId w:val="1002"/>
        </w:numPr>
      </w:pPr>
      <w:r>
        <w:rPr>
          <w:b/>
          <w:bCs/>
        </w:rPr>
        <w:t xml:space="preserve">Jumlah dan jenis peralatan.</w:t>
      </w:r>
      <w:r>
        <w:t xml:space="preserve"> </w:t>
      </w:r>
      <w:r>
        <w:t xml:space="preserve">Satu boiler tunggal berbeda jauh dari deretan oven,</w:t>
      </w:r>
      <w:r>
        <w:t xml:space="preserve"> </w:t>
      </w:r>
      <w:r>
        <w:rPr>
          <w:i/>
          <w:iCs/>
        </w:rPr>
        <w:t xml:space="preserve">dryer</w:t>
      </w:r>
      <w:r>
        <w:t xml:space="preserve">, atau genset yang dikonversi bersamaan.</w:t>
      </w:r>
    </w:p>
    <w:p>
      <w:pPr>
        <w:pStyle w:val="Compact"/>
        <w:numPr>
          <w:ilvl w:val="0"/>
          <w:numId w:val="1002"/>
        </w:numPr>
      </w:pPr>
      <w:r>
        <w:rPr>
          <w:b/>
          <w:bCs/>
        </w:rPr>
        <w:t xml:space="preserve">Tekanan kerja.</w:t>
      </w:r>
      <w:r>
        <w:t xml:space="preserve"> </w:t>
      </w:r>
      <w:r>
        <w:t xml:space="preserve">Spesifikasi tekanan tiap alat menentukan konfigurasi regulator dan tahapan reduksi tekanan.</w:t>
      </w:r>
    </w:p>
    <w:p>
      <w:pPr>
        <w:pStyle w:val="Compact"/>
        <w:numPr>
          <w:ilvl w:val="0"/>
          <w:numId w:val="1002"/>
        </w:numPr>
      </w:pPr>
      <w:r>
        <w:rPr>
          <w:b/>
          <w:bCs/>
        </w:rPr>
        <w:t xml:space="preserve">Jarak dan akses lokasi.</w:t>
      </w:r>
      <w:r>
        <w:t xml:space="preserve"> </w:t>
      </w:r>
      <w:r>
        <w:t xml:space="preserve">Jarak dari titik pasokan dan kemudahan penempatan modul memengaruhi biaya instalasi fisik.</w:t>
      </w:r>
    </w:p>
    <w:p>
      <w:pPr>
        <w:pStyle w:val="FirstParagraph"/>
      </w:pPr>
      <w:r>
        <w:t xml:space="preserve">Proses</w:t>
      </w:r>
      <w:r>
        <w:t xml:space="preserve"> </w:t>
      </w:r>
      <w:r>
        <w:rPr>
          <w:i/>
          <w:iCs/>
        </w:rPr>
        <w:t xml:space="preserve">sizing</w:t>
      </w:r>
      <w:r>
        <w:t xml:space="preserve"> </w:t>
      </w:r>
      <w:r>
        <w:t xml:space="preserve">di awal menerjemahkan profil pemakaian menjadi spesifikasi teknis, dan spesifikasi itulah, bukan asumsi, yang menentukan angkanya.</w:t>
      </w:r>
    </w:p>
    <w:bookmarkEnd w:id="19"/>
    <w:bookmarkStart w:id="20" w:name="X996eaaab99d04bc60189ec350f071f4c07819fd"/>
    <w:p>
      <w:pPr>
        <w:pStyle w:val="Heading2"/>
      </w:pPr>
      <w:r>
        <w:t xml:space="preserve">Membedah PRS, Retrofit Burner, dan Metering</w:t>
      </w:r>
    </w:p>
    <w:p>
      <w:pPr>
        <w:pStyle w:val="FirstParagraph"/>
      </w:pPr>
      <w:r>
        <w:t xml:space="preserve">Tiga komponen menyerap sebagian besar CAPEX konversi: PRS yang menurunkan tekanan CNG ke level aman, retrofit burner yang membuat unit pembakaran kompatibel dengan gas, dan metering yang mengukur pemakaian untuk dasar penagihan. Memahami fungsi tiap bagian membantu Anda menilai kewajaran sebuah penawaran, bukan sekadar menerimanya.</w:t>
      </w:r>
    </w:p>
    <w:p>
      <w:pPr>
        <w:pStyle w:val="BodyText"/>
      </w:pPr>
      <w:r>
        <w:t xml:space="preserve">PRS punya tiga bagian inti. Regulator, yang disebut</w:t>
      </w:r>
      <w:r>
        <w:t xml:space="preserve"> </w:t>
      </w:r>
      <w:r>
        <w:t xml:space="preserve">“jantung”</w:t>
      </w:r>
      <w:r>
        <w:t xml:space="preserve"> </w:t>
      </w:r>
      <w:r>
        <w:t xml:space="preserve">sistem, menurunkan tekanan tinggi ke kisaran kerja sekitar 0,5–4 bar.</w:t>
      </w:r>
      <w:r>
        <w:t xml:space="preserve"> </w:t>
      </w:r>
      <w:r>
        <w:rPr>
          <w:i/>
          <w:iCs/>
        </w:rPr>
        <w:t xml:space="preserve">Filter coalescer</w:t>
      </w:r>
      <w:r>
        <w:t xml:space="preserve"> </w:t>
      </w:r>
      <w:r>
        <w:t xml:space="preserve">menyaring cairan dan kontaminan sebelum gas masuk ke peralatan.</w:t>
      </w:r>
      <w:r>
        <w:t xml:space="preserve"> </w:t>
      </w:r>
      <w:r>
        <w:rPr>
          <w:i/>
          <w:iCs/>
        </w:rPr>
        <w:t xml:space="preserve">Heater</w:t>
      </w:r>
      <w:r>
        <w:t xml:space="preserve"> </w:t>
      </w:r>
      <w:r>
        <w:t xml:space="preserve">menaikkan suhu gas hingga sekitar 50°C untuk mencegah efek Joule-Thomson, yaitu pembekuan instrumen akibat penurunan tekanan mendadak. Satu panel kontrol dan pengaman menjaga seluruh rangkaian.</w:t>
      </w:r>
    </w:p>
    <w:p>
      <w:pPr>
        <w:pStyle w:val="BodyText"/>
      </w:pPr>
      <w:r>
        <w:t xml:space="preserve">Retrofit burner menyesuaikan unit pembakaran solar atau LPG agar aman membakar gas, sementara</w:t>
      </w:r>
      <w:r>
        <w:t xml:space="preserve"> </w:t>
      </w:r>
      <w:r>
        <w:rPr>
          <w:i/>
          <w:iCs/>
        </w:rPr>
        <w:t xml:space="preserve">turbine meter</w:t>
      </w:r>
      <w:r>
        <w:t xml:space="preserve"> </w:t>
      </w:r>
      <w:r>
        <w:t xml:space="preserve">atau</w:t>
      </w:r>
      <w:r>
        <w:t xml:space="preserve"> </w:t>
      </w:r>
      <w:r>
        <w:rPr>
          <w:i/>
          <w:iCs/>
        </w:rPr>
        <w:t xml:space="preserve">smart meter</w:t>
      </w:r>
      <w:r>
        <w:t xml:space="preserve"> </w:t>
      </w:r>
      <w:r>
        <w:t xml:space="preserve">memastikan Anda membayar sesuai pemakaian nyata dengan akurasi standar hingga ±1,0%. Kalibrasi berkala wajib karena selisih pengukuran kecil berdampak besar pada transaksi berbasis volume.</w:t>
      </w:r>
    </w:p>
    <w:p>
      <w:pPr>
        <w:pStyle w:val="BodyText"/>
      </w:pPr>
      <w:r>
        <w:rPr>
          <w:i/>
          <w:iCs/>
        </w:rPr>
        <w:t xml:space="preserve">[Image 03: Diagram teknis potongan-melintang unit PRS berlabel Bahasa Indonesia: regulator, filter coalescer, heater, panel kontrol, turbine meter; strip bawah menampilkan alur</w:t>
      </w:r>
      <w:r>
        <w:rPr>
          <w:i/>
          <w:iCs/>
        </w:rPr>
        <w:t xml:space="preserve"> </w:t>
      </w:r>
      <w:r>
        <w:rPr>
          <w:i/>
          <w:iCs/>
        </w:rPr>
        <w:t xml:space="preserve">“survei -&gt; instalasi -&gt; komisioning”</w:t>
      </w:r>
      <w:r>
        <w:rPr>
          <w:i/>
          <w:iCs/>
        </w:rPr>
        <w:t xml:space="preserve">. Warna biru-abu aksen hijau. Alt: anatomi Pressure Reducing System untuk konversi CNG industri.]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Komponen</w:t>
            </w:r>
          </w:p>
        </w:tc>
        <w:tc>
          <w:tcPr/>
          <w:p>
            <w:pPr>
              <w:pStyle w:val="Compact"/>
            </w:pPr>
            <w:r>
              <w:t xml:space="preserve">Fungsi</w:t>
            </w:r>
          </w:p>
        </w:tc>
        <w:tc>
          <w:tcPr/>
          <w:p>
            <w:pPr>
              <w:pStyle w:val="Compact"/>
            </w:pPr>
            <w:r>
              <w:t xml:space="preserve">Sifat biaya</w:t>
            </w:r>
          </w:p>
        </w:tc>
        <w:tc>
          <w:tcPr/>
          <w:p>
            <w:pPr>
              <w:pStyle w:val="Compact"/>
            </w:pPr>
            <w:r>
              <w:t xml:space="preserve">Lazim ditanggung</w:t>
            </w:r>
          </w:p>
        </w:tc>
      </w:tr>
      <w:tr>
        <w:tc>
          <w:tcPr/>
          <w:p>
            <w:pPr>
              <w:pStyle w:val="Compact"/>
            </w:pPr>
            <w:r>
              <w:t xml:space="preserve">Survei &amp;</w:t>
            </w:r>
            <w:r>
              <w:t xml:space="preserve"> </w:t>
            </w:r>
            <w:r>
              <w:rPr>
                <w:i/>
                <w:iCs/>
              </w:rPr>
              <w:t xml:space="preserve">sizing</w:t>
            </w:r>
          </w:p>
        </w:tc>
        <w:tc>
          <w:tcPr/>
          <w:p>
            <w:pPr>
              <w:pStyle w:val="Compact"/>
            </w:pPr>
            <w:r>
              <w:t xml:space="preserve">Menentukan volume, tekanan, tata letak</w:t>
            </w:r>
          </w:p>
        </w:tc>
        <w:tc>
          <w:tcPr/>
          <w:p>
            <w:pPr>
              <w:pStyle w:val="Compact"/>
            </w:pPr>
            <w:r>
              <w:t xml:space="preserve">Bagian onboarding</w:t>
            </w:r>
          </w:p>
        </w:tc>
        <w:tc>
          <w:tcPr/>
          <w:p>
            <w:pPr>
              <w:pStyle w:val="Compact"/>
            </w:pPr>
            <w:r>
              <w:t xml:space="preserve">Penyedia</w:t>
            </w:r>
          </w:p>
        </w:tc>
      </w:tr>
      <w:tr>
        <w:tc>
          <w:tcPr/>
          <w:p>
            <w:pPr>
              <w:pStyle w:val="Compact"/>
            </w:pPr>
            <w:r>
              <w:t xml:space="preserve">Instalasi PRS</w:t>
            </w:r>
          </w:p>
        </w:tc>
        <w:tc>
          <w:tcPr/>
          <w:p>
            <w:pPr>
              <w:pStyle w:val="Compact"/>
            </w:pPr>
            <w:r>
              <w:t xml:space="preserve">Menurunkan &amp; menstabilkan tekanan CNG</w:t>
            </w:r>
          </w:p>
        </w:tc>
        <w:tc>
          <w:tcPr/>
          <w:p>
            <w:pPr>
              <w:pStyle w:val="Compact"/>
            </w:pPr>
            <w:r>
              <w:t xml:space="preserve">CAPEX satu kali</w:t>
            </w:r>
          </w:p>
        </w:tc>
        <w:tc>
          <w:tcPr/>
          <w:p>
            <w:pPr>
              <w:pStyle w:val="Compact"/>
            </w:pPr>
            <w:r>
              <w:t xml:space="preserve">Bervariasi (skema)</w:t>
            </w:r>
          </w:p>
        </w:tc>
      </w:tr>
      <w:tr>
        <w:tc>
          <w:tcPr/>
          <w:p>
            <w:pPr>
              <w:pStyle w:val="Compact"/>
            </w:pPr>
            <w:r>
              <w:t xml:space="preserve">Retrofit burner</w:t>
            </w:r>
          </w:p>
        </w:tc>
        <w:tc>
          <w:tcPr/>
          <w:p>
            <w:pPr>
              <w:pStyle w:val="Compact"/>
            </w:pPr>
            <w:r>
              <w:t xml:space="preserve">Membuat pembakaran kompatibel gas</w:t>
            </w:r>
          </w:p>
        </w:tc>
        <w:tc>
          <w:tcPr/>
          <w:p>
            <w:pPr>
              <w:pStyle w:val="Compact"/>
            </w:pPr>
            <w:r>
              <w:t xml:space="preserve">CAPEX satu kali</w:t>
            </w:r>
          </w:p>
        </w:tc>
        <w:tc>
          <w:tcPr/>
          <w:p>
            <w:pPr>
              <w:pStyle w:val="Compact"/>
            </w:pPr>
            <w:r>
              <w:t xml:space="preserve">Sering pelanggan</w:t>
            </w:r>
          </w:p>
        </w:tc>
      </w:tr>
      <w:tr>
        <w:tc>
          <w:tcPr/>
          <w:p>
            <w:pPr>
              <w:pStyle w:val="Compact"/>
            </w:pPr>
            <w:r>
              <w:t xml:space="preserve">Metering (turbine meter)</w:t>
            </w:r>
          </w:p>
        </w:tc>
        <w:tc>
          <w:tcPr/>
          <w:p>
            <w:pPr>
              <w:pStyle w:val="Compact"/>
            </w:pPr>
            <w:r>
              <w:t xml:space="preserve">Mengukur volume untuk penagihan</w:t>
            </w:r>
          </w:p>
        </w:tc>
        <w:tc>
          <w:tcPr/>
          <w:p>
            <w:pPr>
              <w:pStyle w:val="Compact"/>
            </w:pPr>
            <w:r>
              <w:t xml:space="preserve">CAPEX / termasuk sewa</w:t>
            </w:r>
          </w:p>
        </w:tc>
        <w:tc>
          <w:tcPr/>
          <w:p>
            <w:pPr>
              <w:pStyle w:val="Compact"/>
            </w:pPr>
            <w:r>
              <w:t xml:space="preserve">Umumnya paket penyedia</w:t>
            </w:r>
          </w:p>
        </w:tc>
      </w:tr>
      <w:tr>
        <w:tc>
          <w:tcPr/>
          <w:p>
            <w:pPr>
              <w:pStyle w:val="Compact"/>
            </w:pPr>
            <w:r>
              <w:t xml:space="preserve">Harga gas berjalan</w:t>
            </w:r>
          </w:p>
        </w:tc>
        <w:tc>
          <w:tcPr/>
          <w:p>
            <w:pPr>
              <w:pStyle w:val="Compact"/>
            </w:pPr>
            <w:r>
              <w:t xml:space="preserve">Bahan bakar yang dikonsumsi (Rp/MMBTU)</w:t>
            </w:r>
          </w:p>
        </w:tc>
        <w:tc>
          <w:tcPr/>
          <w:p>
            <w:pPr>
              <w:pStyle w:val="Compact"/>
            </w:pPr>
            <w:r>
              <w:t xml:space="preserve">OPEX berulang</w:t>
            </w:r>
          </w:p>
        </w:tc>
        <w:tc>
          <w:tcPr/>
          <w:p>
            <w:pPr>
              <w:pStyle w:val="Compact"/>
            </w:pPr>
            <w:r>
              <w:t xml:space="preserve">Selalu pelanggan</w:t>
            </w:r>
          </w:p>
        </w:tc>
      </w:tr>
    </w:tbl>
    <w:bookmarkEnd w:id="20"/>
    <w:bookmarkStart w:id="22" w:name="Xa1822c54132818fab7214008ecbf63a6ad6f62e"/>
    <w:p>
      <w:pPr>
        <w:pStyle w:val="Heading2"/>
      </w:pPr>
      <w:r>
        <w:t xml:space="preserve">CAPEX Sendiri vs Model Tanpa-CAPEX: Mana yang Masuk Akal?</w:t>
      </w:r>
    </w:p>
    <w:p>
      <w:pPr>
        <w:pStyle w:val="FirstParagraph"/>
      </w:pPr>
      <w:r>
        <w:t xml:space="preserve">Ada dua cara membiayai instalasi. Model beli-sendiri menaruh CAPEX penuh di depan, tetapi aset menjadi milik Anda. Model tanpa-CAPEX, atau sewa infrastruktur, memindahkan modal awal ke biaya berjalan sehingga likuiditas terjaga, dengan aset tetap milik penyedia. Keduanya pola umum industri, bukan otomatis tersedia dari setiap penyedia.</w:t>
      </w:r>
    </w:p>
    <w:p>
      <w:pPr>
        <w:pStyle w:val="BodyText"/>
      </w:pPr>
      <w:r>
        <w:t xml:space="preserve">Model tanpa-CAPEX kadang disebut</w:t>
      </w:r>
      <w:r>
        <w:t xml:space="preserve"> </w:t>
      </w:r>
      <w:r>
        <w:rPr>
          <w:i/>
          <w:iCs/>
        </w:rPr>
        <w:t xml:space="preserve">zero-CAPEX</w:t>
      </w:r>
      <w:r>
        <w:t xml:space="preserve">. Secara konsep ia bersandar pada sewa guna usaha yang kerangkanya diatur resmi, mencakup</w:t>
      </w:r>
      <w:r>
        <w:t xml:space="preserve"> </w:t>
      </w:r>
      <w:r>
        <w:rPr>
          <w:i/>
          <w:iCs/>
        </w:rPr>
        <w:t xml:space="preserve">finance lease</w:t>
      </w:r>
      <w:r>
        <w:t xml:space="preserve"> </w:t>
      </w:r>
      <w:r>
        <w:t xml:space="preserve">dan</w:t>
      </w:r>
      <w:r>
        <w:t xml:space="preserve"> </w:t>
      </w:r>
      <w:r>
        <w:rPr>
          <w:i/>
          <w:iCs/>
        </w:rPr>
        <w:t xml:space="preserve">operating lease</w:t>
      </w:r>
      <w:r>
        <w:t xml:space="preserve"> </w:t>
      </w:r>
      <w:r>
        <w:t xml:space="preserve">(OJK). Di pasar peralatan energi, pola yang ditemui pada vendor gas lain berupa tenor 3–5 tahun dan deposit refundable sekitar 10–20%. Itu pola lazim industri, bukan tarif baku, dan penerapannya berbeda antar penyedia.</w:t>
      </w:r>
    </w:p>
    <w:p>
      <w:pPr>
        <w:pStyle w:val="BodyText"/>
      </w:pPr>
      <w:r>
        <w:t xml:space="preserve">Di sinilah menilai</w:t>
      </w:r>
      <w:r>
        <w:t xml:space="preserve"> </w:t>
      </w:r>
      <w:hyperlink r:id="rId21">
        <w:r>
          <w:rPr>
            <w:rStyle w:val="Hyperlink"/>
          </w:rPr>
          <w:t xml:space="preserve">penyedia CNG di Indonesia</w:t>
        </w:r>
      </w:hyperlink>
      <w:r>
        <w:t xml:space="preserve"> </w:t>
      </w:r>
      <w:r>
        <w:t xml:space="preserve">jadi relevan: siapa menanggung modal, siapa pemilik aset, dan siapa penanggung</w:t>
      </w:r>
      <w:r>
        <w:t xml:space="preserve"> </w:t>
      </w:r>
      <w:r>
        <w:rPr>
          <w:i/>
          <w:iCs/>
        </w:rPr>
        <w:t xml:space="preserve">maintenance</w:t>
      </w:r>
      <w:r>
        <w:t xml:space="preserve"> </w:t>
      </w:r>
      <w:r>
        <w:t xml:space="preserve">adalah pertanyaan komersial, bukan teknis. Dalam praktiknya penyedia menangani sisi teknis ini sebagai bagian layanan; onboarding Gaslink (CNG yang disalurkan via</w:t>
      </w:r>
      <w:r>
        <w:t xml:space="preserve"> </w:t>
      </w:r>
      <w:r>
        <w:rPr>
          <w:i/>
          <w:iCs/>
        </w:rPr>
        <w:t xml:space="preserve">Gas Transportation Module</w:t>
      </w:r>
      <w:r>
        <w:t xml:space="preserve">/GTM), misalnya, berjalan lewat empat tahap terdokumentasi, dari kontak, verifikasi kebutuhan, survei lokasi penempatan PRS, hingga instalasi dan pengujian sebelum gas dialirkan (gagas.co.id). Skema komersialnya sebaiknya ditanyakan saat konsultasi, bukan diasumsikan tersedia.</w:t>
      </w:r>
    </w:p>
    <w:p>
      <w:pPr>
        <w:pStyle w:val="BodyText"/>
      </w:pPr>
      <w:r>
        <w:rPr>
          <w:i/>
          <w:iCs/>
        </w:rPr>
        <w:t xml:space="preserve">[Image 02: Grafik dua kolom</w:t>
      </w:r>
      <w:r>
        <w:rPr>
          <w:i/>
          <w:iCs/>
        </w:rPr>
        <w:t xml:space="preserve"> </w:t>
      </w:r>
      <w:r>
        <w:rPr>
          <w:i/>
          <w:iCs/>
        </w:rPr>
        <w:t xml:space="preserve">“Beli-Sendiri vs Tanpa-CAPEX”</w:t>
      </w:r>
      <w:r>
        <w:rPr>
          <w:i/>
          <w:iCs/>
        </w:rPr>
        <w:t xml:space="preserve"> </w:t>
      </w:r>
      <w:r>
        <w:rPr>
          <w:i/>
          <w:iCs/>
        </w:rPr>
        <w:t xml:space="preserve">dengan ikon gembok (kepemilikan) dan kunci-sewa, menyorot modal awal, kepemilikan aset, maintenance, arus kas. Catatan kecil:</w:t>
      </w:r>
      <w:r>
        <w:rPr>
          <w:i/>
          <w:iCs/>
        </w:rPr>
        <w:t xml:space="preserve"> </w:t>
      </w:r>
      <w:r>
        <w:rPr>
          <w:i/>
          <w:iCs/>
        </w:rPr>
        <w:t xml:space="preserve">“konsep umum industri, konfirmasi saat konsultasi”</w:t>
      </w:r>
      <w:r>
        <w:rPr>
          <w:i/>
          <w:iCs/>
        </w:rPr>
        <w:t xml:space="preserve">. Warna biru-hijau, teks Bahasa Indonesia. Alt: perbandingan model pembiayaan konversi gas industri.]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Beli-sendiri (CAPEX di depan)</w:t>
            </w:r>
          </w:p>
        </w:tc>
        <w:tc>
          <w:tcPr/>
          <w:p>
            <w:pPr>
              <w:pStyle w:val="Compact"/>
            </w:pPr>
            <w:r>
              <w:t xml:space="preserve">Tanpa-CAPEX / sewa infrastruktur</w:t>
            </w:r>
          </w:p>
        </w:tc>
      </w:tr>
      <w:tr>
        <w:tc>
          <w:tcPr/>
          <w:p>
            <w:pPr>
              <w:pStyle w:val="Compact"/>
            </w:pPr>
            <w:r>
              <w:t xml:space="preserve">Modal awal</w:t>
            </w:r>
          </w:p>
        </w:tc>
        <w:tc>
          <w:tcPr/>
          <w:p>
            <w:pPr>
              <w:pStyle w:val="Compact"/>
            </w:pPr>
            <w:r>
              <w:t xml:space="preserve">Besar (PRS, retrofit, metering)</w:t>
            </w:r>
          </w:p>
        </w:tc>
        <w:tc>
          <w:tcPr/>
          <w:p>
            <w:pPr>
              <w:pStyle w:val="Compact"/>
            </w:pPr>
            <w:r>
              <w:t xml:space="preserve">Minim; masuk ke tarif berjalan</w:t>
            </w:r>
          </w:p>
        </w:tc>
      </w:tr>
      <w:tr>
        <w:tc>
          <w:tcPr/>
          <w:p>
            <w:pPr>
              <w:pStyle w:val="Compact"/>
            </w:pPr>
            <w:r>
              <w:t xml:space="preserve">Kepemilikan aset</w:t>
            </w:r>
          </w:p>
        </w:tc>
        <w:tc>
          <w:tcPr/>
          <w:p>
            <w:pPr>
              <w:pStyle w:val="Compact"/>
            </w:pPr>
            <w:r>
              <w:t xml:space="preserve">Milik pelanggan</w:t>
            </w:r>
          </w:p>
        </w:tc>
        <w:tc>
          <w:tcPr/>
          <w:p>
            <w:pPr>
              <w:pStyle w:val="Compact"/>
            </w:pPr>
            <w:r>
              <w:t xml:space="preserve">Umumnya milik penyedia</w:t>
            </w:r>
          </w:p>
        </w:tc>
      </w:tr>
      <w:tr>
        <w:tc>
          <w:tcPr/>
          <w:p>
            <w:pPr>
              <w:pStyle w:val="Compact"/>
            </w:pPr>
            <w:r>
              <w:t xml:space="preserve">Maintenance</w:t>
            </w:r>
          </w:p>
        </w:tc>
        <w:tc>
          <w:tcPr/>
          <w:p>
            <w:pPr>
              <w:pStyle w:val="Compact"/>
            </w:pPr>
            <w:r>
              <w:t xml:space="preserve">Pelanggan (kecuali kontrak servis)</w:t>
            </w:r>
          </w:p>
        </w:tc>
        <w:tc>
          <w:tcPr/>
          <w:p>
            <w:pPr>
              <w:pStyle w:val="Compact"/>
            </w:pPr>
            <w:r>
              <w:t xml:space="preserve">Umumnya penyedia</w:t>
            </w:r>
          </w:p>
        </w:tc>
      </w:tr>
      <w:tr>
        <w:tc>
          <w:tcPr/>
          <w:p>
            <w:pPr>
              <w:pStyle w:val="Compact"/>
            </w:pPr>
            <w:r>
              <w:t xml:space="preserve">Dampak arus kas</w:t>
            </w:r>
          </w:p>
        </w:tc>
        <w:tc>
          <w:tcPr/>
          <w:p>
            <w:pPr>
              <w:pStyle w:val="Compact"/>
            </w:pPr>
            <w:r>
              <w:t xml:space="preserve">Menekan kas di awal</w:t>
            </w:r>
          </w:p>
        </w:tc>
        <w:tc>
          <w:tcPr/>
          <w:p>
            <w:pPr>
              <w:pStyle w:val="Compact"/>
            </w:pPr>
            <w:r>
              <w:t xml:space="preserve">Lebih</w:t>
            </w:r>
            <w:r>
              <w:t xml:space="preserve"> </w:t>
            </w:r>
            <w:r>
              <w:rPr>
                <w:i/>
                <w:iCs/>
              </w:rPr>
              <w:t xml:space="preserve">predictable</w:t>
            </w:r>
            <w:r>
              <w:t xml:space="preserve"> </w:t>
            </w:r>
            <w:r>
              <w:t xml:space="preserve">per periode</w:t>
            </w:r>
          </w:p>
        </w:tc>
      </w:tr>
      <w:tr>
        <w:tc>
          <w:tcPr/>
          <w:p>
            <w:pPr>
              <w:pStyle w:val="Compact"/>
            </w:pPr>
            <w:r>
              <w:t xml:space="preserve">Status di Gaslink</w:t>
            </w:r>
          </w:p>
        </w:tc>
        <w:tc>
          <w:tcPr/>
          <w:p>
            <w:pPr>
              <w:pStyle w:val="Compact"/>
            </w:pPr>
            <w:r>
              <w:t xml:space="preserve">Sesuai proses instalasi resmi</w:t>
            </w:r>
          </w:p>
        </w:tc>
        <w:tc>
          <w:tcPr/>
          <w:p>
            <w:pPr>
              <w:pStyle w:val="Compact"/>
            </w:pPr>
            <w:r>
              <w:t xml:space="preserve">Belum dikonfirmasi; tanyakan saat konsultasi</w:t>
            </w:r>
          </w:p>
        </w:tc>
      </w:tr>
    </w:tbl>
    <w:bookmarkEnd w:id="22"/>
    <w:bookmarkStart w:id="24" w:name="X53a3f2545155754fe12272ae0ed50868590e416"/>
    <w:p>
      <w:pPr>
        <w:pStyle w:val="Heading2"/>
      </w:pPr>
      <w:r>
        <w:t xml:space="preserve">Kapan CAPEX Konversi BELUM Terbayar dan Cara Membaca Payback dengan Jujur</w:t>
      </w:r>
    </w:p>
    <w:p>
      <w:pPr>
        <w:pStyle w:val="FirstParagraph"/>
      </w:pPr>
      <w:r>
        <w:t xml:space="preserve">Payback yang jujur adalah CAPEX dibagi penghematan OPEX bulanan, bukan sekadar selisih harga bahan bakar per unit energi. Konversi BELUM terbayar cepat bila konsumsi kecil, operasi musiman, atau harga solar sedang turun. Melihat penghematan tanpa memasukkan modal awal dan masa pakai aset adalah jebakan analisis yang paling umum.</w:t>
      </w:r>
    </w:p>
    <w:p>
      <w:pPr>
        <w:pStyle w:val="BodyText"/>
      </w:pPr>
      <w:r>
        <w:t xml:space="preserve">Contoh bahayanya datang dari studi akademik. Konversi satu boiler solar ke gas mencatat biaya bahan bakar solar sekitar Rp1.319.797/jam melawan gas hanya Rp27.300/jam (Jurnal Rotasi, Universitas Diponegoro). Selisihnya dramatis, tetapi studi itu menghitung bahan bakar saja, tanpa CAPEX instalasi, sehingga bisa menyesatkan bila berdiri sendiri.</w:t>
      </w:r>
    </w:p>
    <w:p>
      <w:pPr>
        <w:pStyle w:val="BodyText"/>
      </w:pPr>
      <w:r>
        <w:t xml:space="preserve">Klaim populer</w:t>
      </w:r>
      <w:r>
        <w:t xml:space="preserve"> </w:t>
      </w:r>
      <w:r>
        <w:t xml:space="preserve">“hemat hingga 30%”</w:t>
      </w:r>
      <w:r>
        <w:t xml:space="preserve"> </w:t>
      </w:r>
      <w:r>
        <w:t xml:space="preserve">pun perlu ditempatkan tepat: angka itu berasal dari klaim penyedia (gagas.co.id), bukan audit independen pihak ketiga. Perlakukan sebagai indikasi, lalu uji dengan profil konsumsi Anda. Logika CAPEX-versus-penghematan yang sama berlaku pada aplikasi CNG lain, termasuk</w:t>
      </w:r>
      <w:r>
        <w:t xml:space="preserve"> </w:t>
      </w:r>
      <w:hyperlink r:id="rId23">
        <w:r>
          <w:rPr>
            <w:rStyle w:val="Hyperlink"/>
          </w:rPr>
          <w:t xml:space="preserve">Gasku untuk sektor transportasi</w:t>
        </w:r>
      </w:hyperlink>
      <w:r>
        <w:t xml:space="preserve"> </w:t>
      </w:r>
      <w:r>
        <w:t xml:space="preserve">saat armada beralih dari BBM ke BBG.</w:t>
      </w:r>
    </w:p>
    <w:bookmarkEnd w:id="24"/>
    <w:bookmarkStart w:id="31" w:name="faq-pertanyaan-yang-sering-diajukan"/>
    <w:p>
      <w:pPr>
        <w:pStyle w:val="Heading2"/>
      </w:pPr>
      <w:r>
        <w:t xml:space="preserve">FAQ (Pertanyaan yang Sering Diajukan)</w:t>
      </w:r>
    </w:p>
    <w:bookmarkStart w:id="25" w:name="X46c67c5da8a76b1a947c71a114dbd192be69be2"/>
    <w:p>
      <w:pPr>
        <w:pStyle w:val="Heading3"/>
      </w:pPr>
      <w:r>
        <w:t xml:space="preserve">Berapa biaya konversi boiler solar ke gas bumi?</w:t>
      </w:r>
    </w:p>
    <w:p>
      <w:pPr>
        <w:pStyle w:val="FirstParagraph"/>
      </w:pPr>
      <w:r>
        <w:t xml:space="preserve">Sangat bergantung pada skala konsumsi, jenis peralatan, tekanan kerja, dan jarak lokasi; belum ada angka baku publik untuk Indonesia. Komponen utamanya instalasi PRS, retrofit burner, dan metering. Langkah paling akurat adalah survei lokasi dan konsultasi kebutuhan langsung dengan penyedia gas.</w:t>
      </w:r>
    </w:p>
    <w:bookmarkEnd w:id="25"/>
    <w:bookmarkStart w:id="26" w:name="X41e31663550dc58a756b3fa5a2284f5fcf7147a"/>
    <w:p>
      <w:pPr>
        <w:pStyle w:val="Heading3"/>
      </w:pPr>
      <w:r>
        <w:t xml:space="preserve">Apakah beralih ke Gaslink butuh investasi besar di awal?</w:t>
      </w:r>
    </w:p>
    <w:p>
      <w:pPr>
        <w:pStyle w:val="FirstParagraph"/>
      </w:pPr>
      <w:r>
        <w:t xml:space="preserve">Umumnya ada modal awal (CAPEX) untuk instalasi PRS, retrofit burner, dan metering, terpisah dari biaya gas berjalan (OPEX). Gaslink menjalankan survei, instalasi, hingga komisioning di lokasi sebagai bagian layanan, tetapi besarannya perlu dikonfirmasi lewat konsultasi karena berbeda tiap lokasi.</w:t>
      </w:r>
    </w:p>
    <w:bookmarkEnd w:id="26"/>
    <w:bookmarkStart w:id="27" w:name="X0ab82ecbececc644090b669f112f7af8dc549a6"/>
    <w:p>
      <w:pPr>
        <w:pStyle w:val="Heading3"/>
      </w:pPr>
      <w:r>
        <w:t xml:space="preserve">Apa itu model tanpa CAPEX atau sewa infrastruktur gas?</w:t>
      </w:r>
    </w:p>
    <w:p>
      <w:pPr>
        <w:pStyle w:val="FirstParagraph"/>
      </w:pPr>
      <w:r>
        <w:t xml:space="preserve">Skema saat penyedia membangun dan memiliki infrastruktur gas, sementara pelanggan membayar biaya berjalan yang sudah mencakup amortisasi, umumnya bertenor 3–5 tahun. Ini pola lazim di industri leasing peralatan energi; konfirmasikan ketersediaannya langsung ke penyedia gas pilihan Anda.</w:t>
      </w:r>
    </w:p>
    <w:bookmarkEnd w:id="27"/>
    <w:bookmarkStart w:id="28" w:name="X81e13087ece521f578ca4b39b4543731377edc6"/>
    <w:p>
      <w:pPr>
        <w:pStyle w:val="Heading3"/>
      </w:pPr>
      <w:r>
        <w:t xml:space="preserve">Berapa lama payback investasi konversi ke gas bumi?</w:t>
      </w:r>
    </w:p>
    <w:p>
      <w:pPr>
        <w:pStyle w:val="FirstParagraph"/>
      </w:pPr>
      <w:r>
        <w:t xml:space="preserve">Payback adalah CAPEX dibagi penghematan OPEX bulanan (selisih biaya bahan bakar lama dengan gas). Makin besar konsumsi dan makin stabil operasi, makin cepat modal kembali; konsumsi kecil atau operasi musiman memperlambatnya. Hitung penghematan bersih setelah CAPEX, bukan hanya selisih harga per unit.</w:t>
      </w:r>
    </w:p>
    <w:bookmarkEnd w:id="28"/>
    <w:bookmarkStart w:id="29" w:name="apa-saja-komponen-instalasi-prs"/>
    <w:p>
      <w:pPr>
        <w:pStyle w:val="Heading3"/>
      </w:pPr>
      <w:r>
        <w:t xml:space="preserve">Apa saja komponen instalasi PRS?</w:t>
      </w:r>
    </w:p>
    <w:p>
      <w:pPr>
        <w:pStyle w:val="FirstParagraph"/>
      </w:pPr>
      <w:r>
        <w:t xml:space="preserve">Umumnya regulator tekanan (menurunkan tekanan CNG ke sekitar 0,5–4 bar), filter coalescer (menyaring cairan dan kontaminan), heater (menaikkan suhu gas hingga ~50°C untuk mencegah pembekuan), dan panel kontrol keselamatan. Kombinasi ini menjaga gas masuk ke peralatan pada tekanan dan kondisi yang aman.</w:t>
      </w:r>
    </w:p>
    <w:bookmarkEnd w:id="29"/>
    <w:bookmarkStart w:id="30" w:name="Xca2ee67469170939c761db39b77d57e06af06d8"/>
    <w:p>
      <w:pPr>
        <w:pStyle w:val="Heading3"/>
      </w:pPr>
      <w:r>
        <w:t xml:space="preserve">Siapa yang menanggung biaya retrofit, pelanggan atau penyedia?</w:t>
      </w:r>
    </w:p>
    <w:p>
      <w:pPr>
        <w:pStyle w:val="FirstParagraph"/>
      </w:pPr>
      <w:r>
        <w:t xml:space="preserve">Tergantung skema. Pada kepemilikan langsung, pelanggan menanggung CAPEX retrofit di depan; pada model sewa, penyedia menanggung modal awal dan membebankannya ke tarif OPEX. Karena belum ada standar tunggal, tanyakan eksplisit siapa pemilik aset dan penanggung maintenance sebelum menandatangani kontrak.</w:t>
      </w:r>
    </w:p>
    <w:bookmarkEnd w:id="30"/>
    <w:bookmarkEnd w:id="31"/>
    <w:bookmarkStart w:id="32" w:name="kesimpulan"/>
    <w:p>
      <w:pPr>
        <w:pStyle w:val="Heading2"/>
      </w:pPr>
      <w:r>
        <w:t xml:space="preserve">Kesimpulan</w:t>
      </w:r>
    </w:p>
    <w:p>
      <w:pPr>
        <w:pStyle w:val="FirstParagraph"/>
      </w:pPr>
      <w:r>
        <w:t xml:space="preserve">Menyusun business case konversi gas bumi yang kredibel berarti memisahkan modal awal dari penghematan berjalan, lalu menguji payback dengan angka konsumsi Anda sendiri, bukan rata-rata brosur. Di titik itu, akses ke penyedia yang menangani sisi teknis instalasi menjadi penting. Sebagai anak usaha PGN yang merupakan bagian dari Subholding Gas Pertamina, PGN Gagas menyalurkan gas bumi ke pelanggan industri dan komersial lewat solusi CNG seperti Gaslink untuk lokasi di luar jangkauan pipa, dengan alur survei, instalasi, hingga komisioning yang ditangani di lokasi Anda. Skema komersial dan opsi pembiayaannya paling tepat dibahas dalam konsultasi berbasis kebutuhan.</w:t>
      </w:r>
    </w:p>
    <w:p>
      <w:pPr>
        <w:pStyle w:val="BodyText"/>
      </w:pPr>
      <w:r>
        <w:t xml:space="preserve">Untuk memetakan komponen biaya dan skema pasokan Gaslink yang sesuai profil konsumsi perusahaan Anda, mulai diskusinya di gagas.co.id.</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3" Target="https://gagas.co.id/gasku/" TargetMode="External" /><Relationship Type="http://schemas.openxmlformats.org/officeDocument/2006/relationships/hyperlink" Id="rId17" Target="https://gagas.co.id/gaslink/" TargetMode="External" /><Relationship Type="http://schemas.openxmlformats.org/officeDocument/2006/relationships/hyperlink" Id="rId21" Target="https://gagas.co.id/perusahaan-cng-indonesia/" TargetMode="External" /></Relationships>
</file>

<file path=word/_rels/footnotes.xml.rels><?xml version="1.0" encoding="UTF-8"?><Relationships xmlns="http://schemas.openxmlformats.org/package/2006/relationships"><Relationship Type="http://schemas.openxmlformats.org/officeDocument/2006/relationships/hyperlink" Id="rId23" Target="https://gagas.co.id/gasku/" TargetMode="External" /><Relationship Type="http://schemas.openxmlformats.org/officeDocument/2006/relationships/hyperlink" Id="rId17" Target="https://gagas.co.id/gaslink/" TargetMode="External" /><Relationship Type="http://schemas.openxmlformats.org/officeDocument/2006/relationships/hyperlink" Id="rId21" Target="https://gagas.co.id/perusahaan-cng-indone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2026-09-21T04:11:37Z</dcterms:created>
  <dcterms:modified xsi:type="dcterms:W3CDTF">2026-09-21T04:11:37Z</dcterms:modified>
</cp:coreProperties>
</file>

<file path=docProps/custom.xml><?xml version="1.0" encoding="utf-8"?>
<Properties xmlns="http://schemas.openxmlformats.org/officeDocument/2006/custom-properties" xmlns:vt="http://schemas.openxmlformats.org/officeDocument/2006/docPropsVTypes"/>
</file>