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"Lindungi Anggaran dari Harga Solar: Gaslink, Kontrak, dan Kepastian Harga"</w:t>
      </w:r>
      <w:r>
        <w:br/>
      </w:r>
      <w:r>
        <w:rPr>
          <w:rStyle w:val="FunctionTok"/>
        </w:rPr>
        <w:t xml:space="preserve">meta_title</w:t>
      </w:r>
      <w:r>
        <w:rPr>
          <w:rStyle w:val="KeywordTok"/>
        </w:rPr>
        <w:t xml:space="preserve">:</w:t>
      </w:r>
      <w:r>
        <w:rPr>
          <w:rStyle w:val="AttributeTok"/>
        </w:rPr>
        <w:t xml:space="preserve"> </w:t>
      </w:r>
      <w:r>
        <w:rPr>
          <w:rStyle w:val="StringTok"/>
        </w:rPr>
        <w:t xml:space="preserve">"Gaslink: Kepastian Harga vs Volatilitas Solar"</w:t>
      </w:r>
      <w:r>
        <w:br/>
      </w:r>
      <w:r>
        <w:rPr>
          <w:rStyle w:val="FunctionTok"/>
        </w:rPr>
        <w:t xml:space="preserve">meta_description</w:t>
      </w:r>
      <w:r>
        <w:rPr>
          <w:rStyle w:val="KeywordTok"/>
        </w:rPr>
        <w:t xml:space="preserve">:</w:t>
      </w:r>
      <w:r>
        <w:rPr>
          <w:rStyle w:val="AttributeTok"/>
        </w:rPr>
        <w:t xml:space="preserve"> </w:t>
      </w:r>
      <w:r>
        <w:rPr>
          <w:rStyle w:val="StringTok"/>
        </w:rPr>
        <w:t xml:space="preserve">"Gaslink dan gas bumi terkontrak membuat biaya energi lebih terprediksi saat harga solar industri bergejolak. Pahami volatilitas solar, HGBT, dan kontrak gas."</w:t>
      </w:r>
      <w:r>
        <w:br/>
      </w:r>
      <w:r>
        <w:rPr>
          <w:rStyle w:val="FunctionTok"/>
        </w:rPr>
        <w:t xml:space="preserve">slug</w:t>
      </w:r>
      <w:r>
        <w:rPr>
          <w:rStyle w:val="KeywordTok"/>
        </w:rPr>
        <w:t xml:space="preserve">:</w:t>
      </w:r>
      <w:r>
        <w:rPr>
          <w:rStyle w:val="AttributeTok"/>
        </w:rPr>
        <w:t xml:space="preserve"> </w:t>
      </w:r>
      <w:r>
        <w:rPr>
          <w:rStyle w:val="StringTok"/>
        </w:rPr>
        <w:t xml:space="preserve">"gaslink-kepastian-harga-vs-volatilitas-solar"</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"Gaslink"</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"volatilitas harga solar industri"</w:t>
      </w:r>
      <w:r>
        <w:rPr>
          <w:rStyle w:val="KeywordTok"/>
        </w:rPr>
        <w:t xml:space="preserve">,</w:t>
      </w:r>
      <w:r>
        <w:rPr>
          <w:rStyle w:val="AttributeTok"/>
        </w:rPr>
        <w:t xml:space="preserve"> </w:t>
      </w:r>
      <w:r>
        <w:rPr>
          <w:rStyle w:val="StringTok"/>
        </w:rPr>
        <w:t xml:space="preserve">"kepastian harga gas bumi"</w:t>
      </w:r>
      <w:r>
        <w:rPr>
          <w:rStyle w:val="KeywordTok"/>
        </w:rPr>
        <w:t xml:space="preserve">,</w:t>
      </w:r>
      <w:r>
        <w:rPr>
          <w:rStyle w:val="AttributeTok"/>
        </w:rPr>
        <w:t xml:space="preserve"> </w:t>
      </w:r>
      <w:r>
        <w:rPr>
          <w:rStyle w:val="StringTok"/>
        </w:rPr>
        <w:t xml:space="preserve">"HGBT"</w:t>
      </w:r>
      <w:r>
        <w:rPr>
          <w:rStyle w:val="KeywordTok"/>
        </w:rPr>
        <w:t xml:space="preserve">,</w:t>
      </w:r>
      <w:r>
        <w:rPr>
          <w:rStyle w:val="AttributeTok"/>
        </w:rPr>
        <w:t xml:space="preserve"> </w:t>
      </w:r>
      <w:r>
        <w:rPr>
          <w:rStyle w:val="StringTok"/>
        </w:rPr>
        <w:t xml:space="preserve">"kontrak pasok gas"</w:t>
      </w:r>
      <w:r>
        <w:rPr>
          <w:rStyle w:val="KeywordTok"/>
        </w:rPr>
        <w:t xml:space="preserve">,</w:t>
      </w:r>
      <w:r>
        <w:rPr>
          <w:rStyle w:val="AttributeTok"/>
        </w:rPr>
        <w:t xml:space="preserve"> </w:t>
      </w:r>
      <w:r>
        <w:rPr>
          <w:rStyle w:val="StringTok"/>
        </w:rPr>
        <w:t xml:space="preserve">"take-or-pay"</w:t>
      </w:r>
      <w:r>
        <w:rPr>
          <w:rStyle w:val="KeywordTok"/>
        </w:rPr>
        <w:t xml:space="preserve">,</w:t>
      </w:r>
      <w:r>
        <w:rPr>
          <w:rStyle w:val="AttributeTok"/>
        </w:rPr>
        <w:t xml:space="preserve"> </w:t>
      </w:r>
      <w:r>
        <w:rPr>
          <w:rStyle w:val="StringTok"/>
        </w:rPr>
        <w:t xml:space="preserve">"manajemen risiko energi"</w:t>
      </w:r>
      <w:r>
        <w:rPr>
          <w:rStyle w:val="KeywordTok"/>
        </w:rPr>
        <w:t xml:space="preserve">,</w:t>
      </w:r>
      <w:r>
        <w:rPr>
          <w:rStyle w:val="AttributeTok"/>
        </w:rPr>
        <w:t xml:space="preserve"> </w:t>
      </w:r>
      <w:r>
        <w:rPr>
          <w:rStyle w:val="StringTok"/>
        </w:rPr>
        <w:t xml:space="preserve">"CNG industri"</w:t>
      </w:r>
      <w:r>
        <w:rPr>
          <w:rStyle w:val="KeywordTok"/>
        </w:rPr>
        <w:t xml:space="preserve">,</w:t>
      </w:r>
      <w:r>
        <w:rPr>
          <w:rStyle w:val="AttributeTok"/>
        </w:rPr>
        <w:t xml:space="preserve"> </w:t>
      </w:r>
      <w:r>
        <w:rPr>
          <w:rStyle w:val="StringTok"/>
        </w:rPr>
        <w:t xml:space="preserve">"lindung nilai biaya bahan bakar"</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"https://gagas.co.id/gaslink/"</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"Gaslink"</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"https://gagas.co.id/perusahaan-cng-indonesia/"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"perusahaan penyedia CNG di Indonesia"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"https://gagas.co.id/gasku/"</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"Gasku untuk kendaraan &amp; armada"</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"https://www.esdm.go.id/id/media-center/arsip-berita/skema-baru-hgbt-perkuat-daya-saing-industri-dan-efisiensi-anggaran-negara"</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"Angka HGBT USD 7 / USD 6,5 per MMBTU, Kepmen ESDM 76.K/2025, 7 sektor, 253 pengguna terdaftar"</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"https://reforminer.com/biaya-manfaat-implementasi-kebijkan-harga-gas-bumi-tertentu-hgbt-untuk-sektor-industri/"</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"Perdebatan biaya-manfaat HGBT: manfaat ekonomi agregat ~Rp247 triliun (2020-2023) vs beban ~Rp70 triliun"</w:t>
      </w:r>
      <w:r>
        <w:br/>
      </w:r>
      <w:r>
        <w:rPr>
          <w:rStyle w:val="FunctionTok"/>
        </w:rPr>
        <w:t xml:space="preserve">brief_id</w:t>
      </w:r>
      <w:r>
        <w:rPr>
          <w:rStyle w:val="KeywordTok"/>
        </w:rPr>
        <w:t xml:space="preserve">:</w:t>
      </w:r>
      <w:r>
        <w:rPr>
          <w:rStyle w:val="AttributeTok"/>
        </w:rPr>
        <w:t xml:space="preserve"> </w:t>
      </w:r>
      <w:r>
        <w:rPr>
          <w:rStyle w:val="StringTok"/>
        </w:rPr>
        <w:t xml:space="preserve">"gaslink-02"</w:t>
      </w:r>
      <w:r>
        <w:br/>
      </w:r>
      <w:r>
        <w:rPr>
          <w:rStyle w:val="FunctionTok"/>
        </w:rPr>
        <w:t xml:space="preserve">target_word_count</w:t>
      </w:r>
      <w:r>
        <w:rPr>
          <w:rStyle w:val="KeywordTok"/>
        </w:rPr>
        <w:t xml:space="preserve">:</w:t>
      </w:r>
      <w:r>
        <w:rPr>
          <w:rStyle w:val="AttributeTok"/>
        </w:rPr>
        <w:t xml:space="preserve"> </w:t>
      </w:r>
      <w:r>
        <w:rPr>
          <w:rStyle w:val="DecValTok"/>
        </w:rPr>
        <w:t xml:space="preserve">1400</w:t>
      </w:r>
      <w:r>
        <w:br/>
      </w:r>
      <w:r>
        <w:rPr>
          <w:rStyle w:val="FunctionTok"/>
        </w:rPr>
        <w:t xml:space="preserve">publish_month</w:t>
      </w:r>
      <w:r>
        <w:rPr>
          <w:rStyle w:val="KeywordTok"/>
        </w:rPr>
        <w:t xml:space="preserve">:</w:t>
      </w:r>
      <w:r>
        <w:rPr>
          <w:rStyle w:val="AttributeTok"/>
        </w:rPr>
        <w:t xml:space="preserve"> </w:t>
      </w:r>
      <w:r>
        <w:rPr>
          <w:rStyle w:val="StringTok"/>
        </w:rPr>
        <w:t xml:space="preserve">"2026-09"</w:t>
      </w:r>
      <w:r>
        <w:br/>
      </w:r>
      <w:r>
        <w:rPr>
          <w:rStyle w:val="FunctionTok"/>
        </w:rPr>
        <w:t xml:space="preserve">date_modified</w:t>
      </w:r>
      <w:r>
        <w:rPr>
          <w:rStyle w:val="KeywordTok"/>
        </w:rPr>
        <w:t xml:space="preserve">:</w:t>
      </w:r>
      <w:r>
        <w:rPr>
          <w:rStyle w:val="AttributeTok"/>
        </w:rPr>
        <w:t xml:space="preserve"> </w:t>
      </w:r>
      <w:r>
        <w:rPr>
          <w:rStyle w:val="StringTok"/>
        </w:rPr>
        <w:t xml:space="preserve">"2026-09-21"</w:t>
      </w:r>
      <w:r>
        <w:br/>
      </w:r>
      <w:r>
        <w:rPr>
          <w:rStyle w:val="FunctionTok"/>
        </w:rPr>
        <w:t xml:space="preserve">word_count</w:t>
      </w:r>
      <w:r>
        <w:rPr>
          <w:rStyle w:val="KeywordTok"/>
        </w:rPr>
        <w:t xml:space="preserve">:</w:t>
      </w:r>
      <w:r>
        <w:rPr>
          <w:rStyle w:val="AttributeTok"/>
        </w:rPr>
        <w:t xml:space="preserve"> </w:t>
      </w:r>
      <w:r>
        <w:rPr>
          <w:rStyle w:val="DecValTok"/>
        </w:rPr>
        <w:t xml:space="preserve">1585</w:t>
      </w:r>
    </w:p>
    <w:p>
      <w:r>
        <w:pict>
          <v:rect style="width:0;height:1.5pt" o:hralign="center" o:hrstd="t" o:hr="t"/>
        </w:pict>
      </w:r>
    </w:p>
    <w:bookmarkEnd w:id="16"/>
    <w:bookmarkStart w:id="35" w:name="X5226067f721f9d176b195e8631458814b7b5006"/>
    <w:p>
      <w:pPr>
        <w:pStyle w:val="Heading1"/>
      </w:pPr>
      <w:r>
        <w:t xml:space="preserve">Lindungi Anggaran dari Harga Solar: Gaslink, Kontrak, dan Kepastian Harga</w:t>
      </w:r>
    </w:p>
    <w:p>
      <w:pPr>
        <w:pStyle w:val="FirstParagraph"/>
      </w:pPr>
      <w:r>
        <w:t xml:space="preserve">Harga solar industri B40 sempat menembus sekitar Rp28 ribu per liter pada April 2026, lalu turun ke kisaran Rp18 ribu hanya beberapa bulan berikutnya. Bagi kepala pabrik dan tim procurement, ayunan puluhan persen dalam setahun itu bukan sekadar berita, melainkan anggaran bahan bakar yang mustahil dikunci. Artikel ini membedah risiko harga energi: kenapa solar industri begitu volatil, bagaimana struktur kontrak gas bumi meredamnya, dan di mana pasokan CNG terjadwal seperti</w:t>
      </w:r>
      <w:r>
        <w:t xml:space="preserve"> </w:t>
      </w:r>
      <w:hyperlink r:id="rId17">
        <w:r>
          <w:rPr>
            <w:rStyle w:val="Hyperlink"/>
          </w:rPr>
          <w:t xml:space="preserve">Gaslink</w:t>
        </w:r>
      </w:hyperlink>
      <w:r>
        <w:t xml:space="preserve"> </w:t>
      </w:r>
      <w:r>
        <w:t xml:space="preserve">masuk perhitungan. Fokusnya bukan sekadar</w:t>
      </w:r>
      <w:r>
        <w:t xml:space="preserve"> </w:t>
      </w:r>
      <w:r>
        <w:t xml:space="preserve">“gas lebih murah”</w:t>
      </w:r>
      <w:r>
        <w:t xml:space="preserve">, melainkan kepastian anggaran yang bisa Anda proyeksikan.</w:t>
      </w:r>
    </w:p>
    <w:p>
      <w:pPr>
        <w:pStyle w:val="BlockText"/>
      </w:pPr>
      <w:r>
        <w:rPr>
          <w:b/>
          <w:bCs/>
        </w:rPr>
        <w:t xml:space="preserve">Secara singkat:</w:t>
      </w:r>
      <w:r>
        <w:t xml:space="preserve"> </w:t>
      </w:r>
      <w:r>
        <w:t xml:space="preserve">Volatilitas harga solar industri adalah kondisi naik-turunnya harga diesel non-subsidi karena mengikuti mekanisme pasar (harga minyak dunia, kurs rupiah, dan biaya produksi biodiesel), tanpa acuan harga tetap dari pemerintah. Sebaliknya, gas bumi umumnya disalurkan lewat perjanjian pasok berformula dan bertenor, sehingga biayanya lebih bisa diproyeksikan di muka.</w:t>
      </w:r>
    </w:p>
    <w:p>
      <w:pPr>
        <w:pStyle w:val="FirstParagraph"/>
      </w:pPr>
      <w:r>
        <w:rPr>
          <w:i/>
          <w:iCs/>
        </w:rPr>
        <w:t xml:space="preserve">[Image 01: Grafik garis: garis oranye harga solar industri B40 naik-turun tajam (Rp21.400 Okt 2025, Rp28.150 Apr 2026, Rp18.200 Agu 2026, ~Rp19.000 Sep 2026) versus garis biru gas bumi terkontrak yang rata bertingkat sepanjang tenor. Gaya infografis bisnis, sumbu Y</w:t>
      </w:r>
      <w:r>
        <w:rPr>
          <w:i/>
          <w:iCs/>
        </w:rPr>
        <w:t xml:space="preserve"> </w:t>
      </w:r>
      <w:r>
        <w:rPr>
          <w:i/>
          <w:iCs/>
        </w:rPr>
        <w:t xml:space="preserve">“Rp/liter setara”</w:t>
      </w:r>
      <w:r>
        <w:rPr>
          <w:i/>
          <w:iCs/>
        </w:rPr>
        <w:t xml:space="preserve">, label sumber kecil</w:t>
      </w:r>
      <w:r>
        <w:rPr>
          <w:i/>
          <w:iCs/>
        </w:rPr>
        <w:t xml:space="preserve"> </w:t>
      </w:r>
      <w:r>
        <w:rPr>
          <w:i/>
          <w:iCs/>
        </w:rPr>
        <w:t xml:space="preserve">“solarindustri.com/Kontan”</w:t>
      </w:r>
      <w:r>
        <w:rPr>
          <w:i/>
          <w:iCs/>
        </w:rPr>
        <w:t xml:space="preserve">, teks Bahasa Indonesia. Alt-text: perbandingan volatilitas harga solar industri dan kepastian harga gas bumi terkontrak.]</w:t>
      </w:r>
    </w:p>
    <w:bookmarkStart w:id="18" w:name="Xc499671f246636272f59e6e42f8e027b4fe10f0"/>
    <w:p>
      <w:pPr>
        <w:pStyle w:val="Heading2"/>
      </w:pPr>
      <w:r>
        <w:t xml:space="preserve">Kenapa Biaya Solar Industri Sulit Diprediksi?</w:t>
      </w:r>
    </w:p>
    <w:p>
      <w:pPr>
        <w:pStyle w:val="FirstParagraph"/>
      </w:pPr>
      <w:r>
        <w:t xml:space="preserve">Biaya solar industri sulit diprediksi karena produk ini non-subsidi dan mengikuti harga pasar, bukan tarif tetap pemerintah. Setidaknya tiga faktor menggerakkannya sekaligus: harga minyak mentah dunia, kurs rupiah terhadap dolar, dan biaya campuran biodiesel B40. Ketiganya bisa bergeser tiap dua minggu, membuat proyeksi biaya lebih dari satu hingga dua bulan ke depan nyaris menjadi tebakan.</w:t>
      </w:r>
    </w:p>
    <w:p>
      <w:pPr>
        <w:pStyle w:val="BodyText"/>
      </w:pPr>
      <w:r>
        <w:t xml:space="preserve">Ini sering disalahpahami:</w:t>
      </w:r>
      <w:r>
        <w:t xml:space="preserve"> </w:t>
      </w:r>
      <w:r>
        <w:t xml:space="preserve">“solar”</w:t>
      </w:r>
      <w:r>
        <w:t xml:space="preserve"> </w:t>
      </w:r>
      <w:r>
        <w:t xml:space="preserve">bukan satu harga. Ada dua seri yang kerap tertukar: BBM retail di SPBU seperti Dexlite (turun ke sekitar Rp13.500 per liter per 1 Januari 2026, untuk kendaraan) dan solar industri bulk B40 yang dikirim langsung ke pabrik, yang jauh lebih mahal dan fluktuatif. Seri kedua inilah yang relevan bagi procurement. Menurut data niaga solarindustri.com dan pemberitaan Kontan, harga solar industri B40 bergerak dari sekitar Rp21.400 per liter (Oktober 2025), melonjak ke Rp28.150 (April 2026), lalu turun ke Rp18.200 (Agustus 2026) dan naik lagi ke kisaran Rp19.000 (September 2026).</w:t>
      </w:r>
    </w:p>
    <w:p>
      <w:pPr>
        <w:pStyle w:val="BodyText"/>
      </w:pPr>
      <w:r>
        <w:t xml:space="preserve">Tiga pemicu utama volatilitasnya:</w:t>
      </w:r>
    </w:p>
    <w:p>
      <w:pPr>
        <w:pStyle w:val="Compact"/>
        <w:numPr>
          <w:ilvl w:val="0"/>
          <w:numId w:val="1001"/>
        </w:numPr>
      </w:pPr>
      <w:r>
        <w:rPr>
          <w:b/>
          <w:bCs/>
        </w:rPr>
        <w:t xml:space="preserve">Harga minyak dunia.</w:t>
      </w:r>
      <w:r>
        <w:t xml:space="preserve"> </w:t>
      </w:r>
      <w:r>
        <w:t xml:space="preserve">Solar mengikuti minyak mentah dan acuan pasar (MOPS); saat minyak naik, biaya ikut terkerek.</w:t>
      </w:r>
    </w:p>
    <w:p>
      <w:pPr>
        <w:pStyle w:val="Compact"/>
        <w:numPr>
          <w:ilvl w:val="0"/>
          <w:numId w:val="1001"/>
        </w:numPr>
      </w:pPr>
      <w:r>
        <w:rPr>
          <w:b/>
          <w:bCs/>
        </w:rPr>
        <w:t xml:space="preserve">Kurs rupiah.</w:t>
      </w:r>
      <w:r>
        <w:t xml:space="preserve"> </w:t>
      </w:r>
      <w:r>
        <w:t xml:space="preserve">Komponen impor dihargai dalam dolar, sehingga pelemahan rupiah langsung menekan harga.</w:t>
      </w:r>
    </w:p>
    <w:p>
      <w:pPr>
        <w:pStyle w:val="Compact"/>
        <w:numPr>
          <w:ilvl w:val="0"/>
          <w:numId w:val="1001"/>
        </w:numPr>
      </w:pPr>
      <w:r>
        <w:rPr>
          <w:b/>
          <w:bCs/>
        </w:rPr>
        <w:t xml:space="preserve">Biaya biodiesel B40.</w:t>
      </w:r>
      <w:r>
        <w:t xml:space="preserve"> </w:t>
      </w:r>
      <w:r>
        <w:t xml:space="preserve">Campuran nabati 40% membuat harga bergantung pula pada bahan baku biodiesel.</w:t>
      </w:r>
    </w:p>
    <w:bookmarkEnd w:id="18"/>
    <w:bookmarkStart w:id="20" w:name="Xcb1eabd6054ad4cc789bb3155cd74335bf3e386"/>
    <w:p>
      <w:pPr>
        <w:pStyle w:val="Heading2"/>
      </w:pPr>
      <w:r>
        <w:t xml:space="preserve">Apakah Harga Gas Bumi Lebih Stabil daripada Solar?</w:t>
      </w:r>
    </w:p>
    <w:p>
      <w:pPr>
        <w:pStyle w:val="FirstParagraph"/>
      </w:pPr>
      <w:r>
        <w:t xml:space="preserve">Secara struktur, ya. Biaya gas bumi cenderung lebih dapat diproyeksikan karena umumnya ditetapkan lewat kontrak berformula dan bertenor, bukan harga harian yang mengejar pasar minyak. Ini bukan berarti harga gas selalu tetap; formulanya tetap bisa menyesuaikan. Namun kerangka kontraknya memberi kepastian jangka menengah yang tidak dimiliki solar non-subsidi.</w:t>
      </w:r>
    </w:p>
    <w:p>
      <w:pPr>
        <w:pStyle w:val="BodyText"/>
      </w:pPr>
      <w:r>
        <w:t xml:space="preserve">Sinyal lain datang dari kebijakan. Pemerintah menetapkan Harga Gas Bumi Tertentu (HGBT) sebesar USD 7 per MMBTU (satuan energi gas) untuk pemanfaatan sebagai bahan bakar dan USD 6,5 sebagai bahan baku, lewat Kepmen ESDM No. 76.K/2025 (</w:t>
      </w:r>
      <w:hyperlink r:id="rId19">
        <w:r>
          <w:rPr>
            <w:rStyle w:val="Hyperlink"/>
          </w:rPr>
          <w:t xml:space="preserve">Kementerian ESDM</w:t>
        </w:r>
      </w:hyperlink>
      <w:r>
        <w:t xml:space="preserve">, Februari 2025). Skema ini mencakup 7 sektor dengan 253 pengguna terdaftar. Bahwa negara menjaga harga gas industri di level tertentu menandakan gas diperlakukan sebagai input strategis.</w:t>
      </w:r>
    </w:p>
    <w:p>
      <w:pPr>
        <w:pStyle w:val="BodyText"/>
      </w:pPr>
      <w:r>
        <w:t xml:space="preserve">Di sinilah bagian yang kerap keliru dibaca. HGBT bukan harga otomatis untuk semua pembeli gas. Ia berlaku bagi daftar tertutup 253 pengguna di 7 sektor yang dilayani lewat jaringan pipa dan ditetapkan di titik serah pabrik. Pelanggan CNG di luar pipa, termasuk pelanggan Gaslink, tidak ada dalam daftar itu. Jadi baca HGBT sebagai konteks kebijakan yang menunjukkan arah harga gas industri, bukan tarif yang serta-merta Anda peroleh.</w:t>
      </w:r>
    </w:p>
    <w:p>
      <w:pPr>
        <w:pStyle w:val="BodyText"/>
      </w:pPr>
      <w:r>
        <w:rPr>
          <w:i/>
          <w:iCs/>
        </w:rPr>
        <w:t xml:space="preserve">[Image 02: Infografis dua kolom. Kolom kiri</w:t>
      </w:r>
      <w:r>
        <w:rPr>
          <w:i/>
          <w:iCs/>
        </w:rPr>
        <w:t xml:space="preserve"> </w:t>
      </w:r>
      <w:r>
        <w:rPr>
          <w:i/>
          <w:iCs/>
        </w:rPr>
        <w:t xml:space="preserve">“HGBT: 7 sektor, 253 pengguna terdaftar, via jaringan pipa”</w:t>
      </w:r>
      <w:r>
        <w:rPr>
          <w:i/>
          <w:iCs/>
        </w:rPr>
        <w:t xml:space="preserve"> </w:t>
      </w:r>
      <w:r>
        <w:rPr>
          <w:i/>
          <w:iCs/>
        </w:rPr>
        <w:t xml:space="preserve">dengan ikon pabrik dan pipa. Kolom kanan</w:t>
      </w:r>
      <w:r>
        <w:rPr>
          <w:i/>
          <w:iCs/>
        </w:rPr>
        <w:t xml:space="preserve"> </w:t>
      </w:r>
      <w:r>
        <w:rPr>
          <w:i/>
          <w:iCs/>
        </w:rPr>
        <w:t xml:space="preserve">“Gaslink: CNG beyond-pipeline, harga menurut volume, jarak, dan regulasi”</w:t>
      </w:r>
      <w:r>
        <w:rPr>
          <w:i/>
          <w:iCs/>
        </w:rPr>
        <w:t xml:space="preserve"> </w:t>
      </w:r>
      <w:r>
        <w:rPr>
          <w:i/>
          <w:iCs/>
        </w:rPr>
        <w:t xml:space="preserve">dengan ikon truk GTM. Di antara keduanya teks</w:t>
      </w:r>
      <w:r>
        <w:rPr>
          <w:i/>
          <w:iCs/>
        </w:rPr>
        <w:t xml:space="preserve"> </w:t>
      </w:r>
      <w:r>
        <w:rPr>
          <w:i/>
          <w:iCs/>
        </w:rPr>
        <w:t xml:space="preserve">“Bukan skema harga yang sama”</w:t>
      </w:r>
      <w:r>
        <w:rPr>
          <w:i/>
          <w:iCs/>
        </w:rPr>
        <w:t xml:space="preserve">. Gaya flat korporat biru-hijau, teks Bahasa Indonesia. Alt-text: perbedaan cakupan HGBT via pipa dan pasokan Gaslink CNG di luar jaringan pipa.]</w:t>
      </w:r>
    </w:p>
    <w:bookmarkEnd w:id="20"/>
    <w:bookmarkStart w:id="21" w:name="X4bee34284c3d2eeb5e008c0bf40084a5db45e02"/>
    <w:p>
      <w:pPr>
        <w:pStyle w:val="Heading2"/>
      </w:pPr>
      <w:r>
        <w:t xml:space="preserve">Apa yang Sebaiknya Ada di Kontrak Pasok Gas Anda</w:t>
      </w:r>
    </w:p>
    <w:p>
      <w:pPr>
        <w:pStyle w:val="FirstParagraph"/>
      </w:pPr>
      <w:r>
        <w:t xml:space="preserve">Kontrak pasok gas yang benar-benar melindungi anggaran setidaknya memuat lima elemen: formula harga, tenor, volume komitmen (</w:t>
      </w:r>
      <w:r>
        <w:rPr>
          <w:i/>
          <w:iCs/>
        </w:rPr>
        <w:t xml:space="preserve">take-or-pay</w:t>
      </w:r>
      <w:r>
        <w:t xml:space="preserve">, kewajiban membayar volume minimum meski tak terpakai penuh), mekanisme penyesuaian, dan metode penagihan. Kelimanya menentukan seberapa banyak risiko harga berpindah dari Anda ke penyedia, dan seberapa jauh biaya energi bisa diproyeksikan dari tahun ke tahun.</w:t>
      </w:r>
    </w:p>
    <w:p>
      <w:pPr>
        <w:pStyle w:val="BodyText"/>
      </w:pPr>
      <w:r>
        <w:t xml:space="preserve">Satu penegasan sebelum masuk detail: elemen di bawah adalah praktik umum kontrak gas bumi di Indonesia, tercermin dalam perjanjian jual beli gas (PJBG) yang diteken lewat SKK Migas, bukan salinan term satu penyedia tertentu. Tenor PJBG yang dilaporkan saja bervariasi dari sekitar 2 hingga 11 tahun. Angka sebenarnya selalu dinegosiasikan per pelanggan, jadi jadikan daftar ini bahan bertanya, bukan asumsi.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Elemen kontrak</w:t>
            </w:r>
          </w:p>
        </w:tc>
        <w:tc>
          <w:tcPr/>
          <w:p>
            <w:pPr>
              <w:pStyle w:val="Compact"/>
            </w:pPr>
            <w:r>
              <w:t xml:space="preserve">Apa yang dilindunginya</w:t>
            </w:r>
          </w:p>
        </w:tc>
        <w:tc>
          <w:tcPr/>
          <w:p>
            <w:pPr>
              <w:pStyle w:val="Compact"/>
            </w:pPr>
            <w:r>
              <w:t xml:space="preserve">Yang perlu Anda tanyakan</w:t>
            </w:r>
          </w:p>
        </w:tc>
      </w:tr>
      <w:tr>
        <w:tc>
          <w:tcPr/>
          <w:p>
            <w:pPr>
              <w:pStyle w:val="Compact"/>
            </w:pPr>
            <w:r>
              <w:t xml:space="preserve">Formula harga</w:t>
            </w:r>
          </w:p>
        </w:tc>
        <w:tc>
          <w:tcPr/>
          <w:p>
            <w:pPr>
              <w:pStyle w:val="Compact"/>
            </w:pPr>
            <w:r>
              <w:t xml:space="preserve">Dari lonjakan harga pasar mendadak</w:t>
            </w:r>
          </w:p>
        </w:tc>
        <w:tc>
          <w:tcPr/>
          <w:p>
            <w:pPr>
              <w:pStyle w:val="Compact"/>
            </w:pPr>
            <w:r>
              <w:t xml:space="preserve">Berbasis indeks apa, seberapa sering disesuaikan?</w:t>
            </w:r>
          </w:p>
        </w:tc>
      </w:tr>
      <w:tr>
        <w:tc>
          <w:tcPr/>
          <w:p>
            <w:pPr>
              <w:pStyle w:val="Compact"/>
            </w:pPr>
            <w:r>
              <w:t xml:space="preserve">Tenor</w:t>
            </w:r>
          </w:p>
        </w:tc>
        <w:tc>
          <w:tcPr/>
          <w:p>
            <w:pPr>
              <w:pStyle w:val="Compact"/>
            </w:pPr>
            <w:r>
              <w:t xml:space="preserve">Kepastian harga &amp; pasokan jangka menengah</w:t>
            </w:r>
          </w:p>
        </w:tc>
        <w:tc>
          <w:tcPr/>
          <w:p>
            <w:pPr>
              <w:pStyle w:val="Compact"/>
            </w:pPr>
            <w:r>
              <w:t xml:space="preserve">Berapa lama, bagaimana opsi perpanjangan?</w:t>
            </w:r>
          </w:p>
        </w:tc>
      </w:tr>
      <w:tr>
        <w:tc>
          <w:tcPr/>
          <w:p>
            <w:pPr>
              <w:pStyle w:val="Compact"/>
            </w:pPr>
            <w:r>
              <w:t xml:space="preserve">Take-or-pay</w:t>
            </w:r>
          </w:p>
        </w:tc>
        <w:tc>
          <w:tcPr/>
          <w:p>
            <w:pPr>
              <w:pStyle w:val="Compact"/>
            </w:pPr>
            <w:r>
              <w:t xml:space="preserve">Kepastian pasokan bagi kedua pihak</w:t>
            </w:r>
          </w:p>
        </w:tc>
        <w:tc>
          <w:tcPr/>
          <w:p>
            <w:pPr>
              <w:pStyle w:val="Compact"/>
            </w:pPr>
            <w:r>
              <w:t xml:space="preserve">Berapa volume wajib bayar, adakah fleksibilitas bila produksi turun?</w:t>
            </w:r>
          </w:p>
        </w:tc>
      </w:tr>
      <w:tr>
        <w:tc>
          <w:tcPr/>
          <w:p>
            <w:pPr>
              <w:pStyle w:val="Compact"/>
            </w:pPr>
            <w:r>
              <w:t xml:space="preserve">Mekanisme penyesuaian</w:t>
            </w:r>
          </w:p>
        </w:tc>
        <w:tc>
          <w:tcPr/>
          <w:p>
            <w:pPr>
              <w:pStyle w:val="Compact"/>
            </w:pPr>
            <w:r>
              <w:t xml:space="preserve">Dari harga yang timpang dengan pasar</w:t>
            </w:r>
          </w:p>
        </w:tc>
        <w:tc>
          <w:tcPr/>
          <w:p>
            <w:pPr>
              <w:pStyle w:val="Compact"/>
            </w:pPr>
            <w:r>
              <w:t xml:space="preserve">Kondisi apa yang memicu penyesuaian di luar jadwal?</w:t>
            </w:r>
          </w:p>
        </w:tc>
      </w:tr>
      <w:tr>
        <w:tc>
          <w:tcPr/>
          <w:p>
            <w:pPr>
              <w:pStyle w:val="Compact"/>
            </w:pPr>
            <w:r>
              <w:t xml:space="preserve">Penagihan berbasis meter</w:t>
            </w:r>
          </w:p>
        </w:tc>
        <w:tc>
          <w:tcPr/>
          <w:p>
            <w:pPr>
              <w:pStyle w:val="Compact"/>
            </w:pPr>
            <w:r>
              <w:t xml:space="preserve">Bayar sesuai pemakaian, bukan kapasitas</w:t>
            </w:r>
          </w:p>
        </w:tc>
        <w:tc>
          <w:tcPr/>
          <w:p>
            <w:pPr>
              <w:pStyle w:val="Compact"/>
            </w:pPr>
            <w:r>
              <w:t xml:space="preserve">Apakah tagihan berbasis smart meter/pemakaian aktual?</w:t>
            </w:r>
          </w:p>
        </w:tc>
      </w:tr>
    </w:tbl>
    <w:bookmarkEnd w:id="21"/>
    <w:bookmarkStart w:id="23" w:name="X76399e257f2c137d0091e806ba516e3527b99d8"/>
    <w:p>
      <w:pPr>
        <w:pStyle w:val="Heading2"/>
      </w:pPr>
      <w:r>
        <w:t xml:space="preserve">Volatil vs Terkontrak: Menimbang Nilai Kepastian, Bukan Sekadar Harga Termurah</w:t>
      </w:r>
    </w:p>
    <w:p>
      <w:pPr>
        <w:pStyle w:val="FirstParagraph"/>
      </w:pPr>
      <w:r>
        <w:t xml:space="preserve">Kepastian biaya punya nilai finansial tersendiri, terlepas apakah harganya paling murah hari ini. Biaya energi yang bisa diproyeksikan memudahkan penetapan harga jual, mencegah kejutan anggaran kuartalan, dan menstabilkan margin. Bagi banyak pabrik, selisih beberapa ratus rupiah per unit energi kalah penting dibanding kemampuan mengunci biaya selama satu hingga dua tahun.</w:t>
      </w:r>
    </w:p>
    <w:p>
      <w:pPr>
        <w:pStyle w:val="BodyText"/>
      </w:pPr>
      <w:r>
        <w:t xml:space="preserve">Sederhananya, dengan solar non-subsidi seluruh risiko harga ada di pundak Anda tiap kali mengisi tangki. Dengan gas terkontrak, sebagian risiko itu diatur lewat formula yang disepakati di muka. Inilah inti lindung nilai (</w:t>
      </w:r>
      <w:r>
        <w:rPr>
          <w:i/>
          <w:iCs/>
        </w:rPr>
        <w:t xml:space="preserve">hedging</w:t>
      </w:r>
      <w:r>
        <w:t xml:space="preserve">) biaya energi: Anda tidak mengejar harga terendah, melainkan menukar sedikit potensi penghematan dengan ketenangan anggaran.</w:t>
      </w:r>
    </w:p>
    <w:p>
      <w:pPr>
        <w:pStyle w:val="BodyText"/>
      </w:pPr>
      <w:r>
        <w:t xml:space="preserve">Dalam praktik penyaluran CNG beyond-pipeline, PGN Gagas menagih pelanggan Gaslink berdasarkan volume yang benar-benar terpakai lewat smart meter, dengan harga mengikuti volume, jarak pengiriman, dan regulasi, bukan satu tarif seragam. Perusahaan menyatakan pelanggan bisa menghemat hingga 30% dibanding bahan bakar konvensional, meski itu klaim first-party yang belum diaudit independen. Logika serupa berlaku di jalan: konversi BBM ke BBG lewat</w:t>
      </w:r>
      <w:r>
        <w:t xml:space="preserve"> </w:t>
      </w:r>
      <w:hyperlink r:id="rId22">
        <w:r>
          <w:rPr>
            <w:rStyle w:val="Hyperlink"/>
          </w:rPr>
          <w:t xml:space="preserve">Gasku untuk kendaraan &amp; armada</w:t>
        </w:r>
      </w:hyperlink>
      <w:r>
        <w:t xml:space="preserve"> </w:t>
      </w:r>
      <w:r>
        <w:t xml:space="preserve">adalah bentuk lindung nilai yang sama terhadap harga BBM yang bergejolak.</w:t>
      </w:r>
    </w:p>
    <w:bookmarkEnd w:id="23"/>
    <w:bookmarkStart w:id="26" w:name="X76494bb00eef1564088a157355c74669fba5219"/>
    <w:p>
      <w:pPr>
        <w:pStyle w:val="Heading2"/>
      </w:pPr>
      <w:r>
        <w:t xml:space="preserve">Kapan Kontrak Gas Justru Kurang Menguntungkan</w:t>
      </w:r>
    </w:p>
    <w:p>
      <w:pPr>
        <w:pStyle w:val="FirstParagraph"/>
      </w:pPr>
      <w:r>
        <w:t xml:space="preserve">Kontrak gas tidak selalu pilihan terbaik, dan jujur soal ini penting. Bila produksi Anda berfluktuasi tajam, komitmen take-or-pay bisa memaksa membayar volume yang tak terpakai. Saat harga solar sedang di titik rendah, selisih biaya menyempit. Bergantung pada satu formula harga pun berarti Anda tetap terekspos bila indeks acuannya naik. Kepastian ada harganya; pastikan nilainya sepadan.</w:t>
      </w:r>
    </w:p>
    <w:p>
      <w:pPr>
        <w:pStyle w:val="BodyText"/>
      </w:pPr>
      <w:r>
        <w:t xml:space="preserve">Beberapa cara memitigasi agar komitmen tidak berbalik merugikan:</w:t>
      </w:r>
    </w:p>
    <w:p>
      <w:pPr>
        <w:pStyle w:val="Compact"/>
        <w:numPr>
          <w:ilvl w:val="0"/>
          <w:numId w:val="1002"/>
        </w:numPr>
      </w:pPr>
      <w:r>
        <w:rPr>
          <w:b/>
          <w:bCs/>
        </w:rPr>
        <w:t xml:space="preserve">Negosiasikan fleksibilitas volume.</w:t>
      </w:r>
      <w:r>
        <w:t xml:space="preserve"> </w:t>
      </w:r>
      <w:r>
        <w:t xml:space="preserve">Klausul yang mengizinkan penyesuaian saat produksi turun musiman.</w:t>
      </w:r>
    </w:p>
    <w:p>
      <w:pPr>
        <w:pStyle w:val="Compact"/>
        <w:numPr>
          <w:ilvl w:val="0"/>
          <w:numId w:val="1002"/>
        </w:numPr>
      </w:pPr>
      <w:r>
        <w:rPr>
          <w:b/>
          <w:bCs/>
        </w:rPr>
        <w:t xml:space="preserve">Pilih tenor yang wajar.</w:t>
      </w:r>
      <w:r>
        <w:t xml:space="preserve"> </w:t>
      </w:r>
      <w:r>
        <w:t xml:space="preserve">Cukup panjang untuk kepastian, cukup pendek agar tak terkunci pada asumsi lama.</w:t>
      </w:r>
    </w:p>
    <w:p>
      <w:pPr>
        <w:pStyle w:val="Compact"/>
        <w:numPr>
          <w:ilvl w:val="0"/>
          <w:numId w:val="1002"/>
        </w:numPr>
      </w:pPr>
      <w:r>
        <w:rPr>
          <w:b/>
          <w:bCs/>
        </w:rPr>
        <w:t xml:space="preserve">Minta penyesuaian yang transparan.</w:t>
      </w:r>
      <w:r>
        <w:t xml:space="preserve"> </w:t>
      </w:r>
      <w:r>
        <w:t xml:space="preserve">Anda tahu persis kapan dan mengapa harga berubah.</w:t>
      </w:r>
    </w:p>
    <w:p>
      <w:pPr>
        <w:pStyle w:val="Compact"/>
        <w:numPr>
          <w:ilvl w:val="0"/>
          <w:numId w:val="1002"/>
        </w:numPr>
      </w:pPr>
      <w:r>
        <w:rPr>
          <w:b/>
          <w:bCs/>
        </w:rPr>
        <w:t xml:space="preserve">Pertimbangkan kombinasi pasokan</w:t>
      </w:r>
      <w:r>
        <w:t xml:space="preserve"> </w:t>
      </w:r>
      <w:r>
        <w:t xml:space="preserve">agar tak seluruh kebutuhan bergantung pada satu formula harga.</w:t>
      </w:r>
    </w:p>
    <w:p>
      <w:pPr>
        <w:pStyle w:val="FirstParagraph"/>
      </w:pPr>
      <w:r>
        <w:t xml:space="preserve">Ada pula risiko kebijakan yang jarang dibahas. Manfaat HGBT sendiri masih diperdebatkan:</w:t>
      </w:r>
      <w:r>
        <w:t xml:space="preserve"> </w:t>
      </w:r>
      <w:hyperlink r:id="rId24">
        <w:r>
          <w:rPr>
            <w:rStyle w:val="Hyperlink"/>
          </w:rPr>
          <w:t xml:space="preserve">ReforMiner Institute</w:t>
        </w:r>
      </w:hyperlink>
      <w:r>
        <w:t xml:space="preserve"> </w:t>
      </w:r>
      <w:r>
        <w:t xml:space="preserve">mencatat manfaat ekonomi agregat hingga Rp247 triliun (2020–2023), sementara direktur eksekutif lembaga yang sama justru mendesak evaluasi karena bebannya ke anggaran negara ditaksir sekitar Rp70 triliun. Maka membangun strategi biaya di atas harga bersubsidi yang mungkin tak Anda dapatkan itu rapuh; memilih</w:t>
      </w:r>
      <w:r>
        <w:t xml:space="preserve"> </w:t>
      </w:r>
      <w:hyperlink r:id="rId25">
        <w:r>
          <w:rPr>
            <w:rStyle w:val="Hyperlink"/>
          </w:rPr>
          <w:t xml:space="preserve">perusahaan penyedia CNG di Indonesia</w:t>
        </w:r>
      </w:hyperlink>
      <w:r>
        <w:t xml:space="preserve"> </w:t>
      </w:r>
      <w:r>
        <w:t xml:space="preserve">yang kredibel dan transparan soal formula harga adalah bagian dari mengelola risiko ini.</w:t>
      </w:r>
    </w:p>
    <w:bookmarkEnd w:id="26"/>
    <w:bookmarkStart w:id="33" w:name="faq-pertanyaan-yang-sering-diajukan"/>
    <w:p>
      <w:pPr>
        <w:pStyle w:val="Heading2"/>
      </w:pPr>
      <w:r>
        <w:t xml:space="preserve">FAQ (Pertanyaan yang Sering Diajukan)</w:t>
      </w:r>
    </w:p>
    <w:bookmarkStart w:id="27" w:name="kenapa-harga-solar-industri-naik-turun"/>
    <w:p>
      <w:pPr>
        <w:pStyle w:val="Heading3"/>
      </w:pPr>
      <w:r>
        <w:t xml:space="preserve">Kenapa harga solar industri naik-turun?</w:t>
      </w:r>
    </w:p>
    <w:p>
      <w:pPr>
        <w:pStyle w:val="FirstParagraph"/>
      </w:pPr>
      <w:r>
        <w:t xml:space="preserve">Solar industri adalah BBM non-subsidi yang mengikuti mekanisme pasar, sehingga dipengaruhi harga minyak dunia, kurs rupiah, dan biaya biodiesel B40. Sebagai gambaran, harganya bergerak dari sekitar Rp21.400 per liter (Oktober 2025) ke puncak Rp28.150 (April 2026), lalu turun ke kisaran Rp18.200–19.000 pada pertengahan 2026.</w:t>
      </w:r>
    </w:p>
    <w:bookmarkEnd w:id="27"/>
    <w:bookmarkStart w:id="28" w:name="apa-itu-hgbt-dan-siapa-yang-berhak"/>
    <w:p>
      <w:pPr>
        <w:pStyle w:val="Heading3"/>
      </w:pPr>
      <w:r>
        <w:t xml:space="preserve">Apa itu HGBT dan siapa yang berhak?</w:t>
      </w:r>
    </w:p>
    <w:p>
      <w:pPr>
        <w:pStyle w:val="FirstParagraph"/>
      </w:pPr>
      <w:r>
        <w:t xml:space="preserve">Harga Gas Bumi Tertentu (HGBT) adalah kebijakan harga gas khusus pemerintah untuk 7 sektor industri (pupuk, petrokimia, oleokimia, baja, keramik, kaca, sarung tangan karet), total 253 pengguna terdaftar, sesuai Kepmen ESDM No. 76.K/2025. Harganya USD 7/MMBTU (bahan bakar) atau USD 6,5/MMBTU (bahan baku), ditetapkan di titik serah pabrik via jaringan pipa, bukan skema otomatis untuk semua pelanggan gas.</w:t>
      </w:r>
    </w:p>
    <w:bookmarkEnd w:id="28"/>
    <w:bookmarkStart w:id="29" w:name="apa-itu-skema-take-or-pay"/>
    <w:p>
      <w:pPr>
        <w:pStyle w:val="Heading3"/>
      </w:pPr>
      <w:r>
        <w:t xml:space="preserve">Apa itu skema take-or-pay?</w:t>
      </w:r>
    </w:p>
    <w:p>
      <w:pPr>
        <w:pStyle w:val="FirstParagraph"/>
      </w:pPr>
      <w:r>
        <w:t xml:space="preserve">Take-or-pay adalah klausul umum dalam kontrak jual beli gas yang mewajibkan pembeli membayar volume minimum yang disepakati, baik gas itu terpakai penuh atau tidak. Klausul ini melindungi penjual dari fluktuasi permintaan, tapi bagi pembeli berarti ada komitmen finansial tetap, sehingga volume komitmen dan fleksibilitasnya perlu dinegosiasikan sejak awal.</w:t>
      </w:r>
    </w:p>
    <w:bookmarkEnd w:id="29"/>
    <w:bookmarkStart w:id="30" w:name="X96f4478f9ca8c4f7e5a1625228ed565f599aa3f"/>
    <w:p>
      <w:pPr>
        <w:pStyle w:val="Heading3"/>
      </w:pPr>
      <w:r>
        <w:t xml:space="preserve">Berapa lama tenor kontrak gas bumi industri di Indonesia?</w:t>
      </w:r>
    </w:p>
    <w:p>
      <w:pPr>
        <w:pStyle w:val="FirstParagraph"/>
      </w:pPr>
      <w:r>
        <w:t xml:space="preserve">Tenor perjanjian jual beli gas (PJBG) di Indonesia bervariasi, bukan angka tunggal. Pemberitaan penandatanganan PJBG lewat SKK Migas mencatat rentang mulai sekitar 2 tahun hingga lebih dari 10 tahun untuk kontrak berbeda. Jangka waktunya dinegosiasikan sesuai kebutuhan volume, profil risiko, dan kapasitas infrastruktur kedua pihak, bukan mengikuti satu tenor standar.</w:t>
      </w:r>
    </w:p>
    <w:bookmarkEnd w:id="30"/>
    <w:bookmarkStart w:id="31" w:name="X5307b3ce530671f7e6a5d73ed3cb61a32e99d5e"/>
    <w:p>
      <w:pPr>
        <w:pStyle w:val="Heading3"/>
      </w:pPr>
      <w:r>
        <w:t xml:space="preserve">Bagaimana cara mengunci atau memprediksi biaya bahan bakar pabrik?</w:t>
      </w:r>
    </w:p>
    <w:p>
      <w:pPr>
        <w:pStyle w:val="FirstParagraph"/>
      </w:pPr>
      <w:r>
        <w:t xml:space="preserve">Cara paling umum adalah beralih dari BBM non-subsidi yang berharga harian ke gas bumi lewat perjanjian pasok berjangka yang menetapkan formula harga dan tenor di muka. Periksa juga mekanisme penyesuaian harga, volume komitmen (take-or-pay), dan metode penagihan, idealnya berbasis pemakaian aktual, agar anggaran energi lebih mudah diproyeksikan dari tahun ke tahun.</w:t>
      </w:r>
    </w:p>
    <w:bookmarkEnd w:id="31"/>
    <w:bookmarkStart w:id="32" w:name="X26fcacd330519f796aa72822051bfb88f7c6b12"/>
    <w:p>
      <w:pPr>
        <w:pStyle w:val="Heading3"/>
      </w:pPr>
      <w:r>
        <w:t xml:space="preserve">Apakah pelanggan Gaslink di luar pipa mendapat harga tetap?</w:t>
      </w:r>
    </w:p>
    <w:p>
      <w:pPr>
        <w:pStyle w:val="FirstParagraph"/>
      </w:pPr>
      <w:r>
        <w:t xml:space="preserve">Tidak ada harga tunggal yang berlaku sama untuk semua pelanggan. Menurut halaman resmi Gaslink, harga ditentukan berdasarkan volume pemakaian, jarak pengiriman, dan regulasi pemerintah, dengan penagihan lewat smart meter sesuai pemakaian aktual. Kepastian yang ditawarkan bukan</w:t>
      </w:r>
      <w:r>
        <w:t xml:space="preserve"> </w:t>
      </w:r>
      <w:r>
        <w:t xml:space="preserve">“harga sama untuk semua”</w:t>
      </w:r>
      <w:r>
        <w:t xml:space="preserve">, melainkan kejelasan mekanisme penagihan dan perjanjian pasok yang disepakati di awal.</w:t>
      </w:r>
    </w:p>
    <w:bookmarkEnd w:id="32"/>
    <w:bookmarkEnd w:id="33"/>
    <w:bookmarkStart w:id="34" w:name="kesimpulan"/>
    <w:p>
      <w:pPr>
        <w:pStyle w:val="Heading2"/>
      </w:pPr>
      <w:r>
        <w:t xml:space="preserve">Kesimpulan</w:t>
      </w:r>
    </w:p>
    <w:p>
      <w:pPr>
        <w:pStyle w:val="FirstParagraph"/>
      </w:pPr>
      <w:r>
        <w:t xml:space="preserve">Anggaran bahan bakar yang berayun puluhan persen dalam setahun bukan takdir yang harus diterima procurement. Dengan memahami mengapa solar industri volatil, menimbang konteks kebijakan seperti HGBT, dan membaca elemen kontrak pasok gas secara cermat, keputusan energi bergeser dari menebak harga ke mengelola risiko. Sebagai anak usaha PGN yang merupakan bagian dari Subholding Gas Pertamina, PGN Gagas menyalurkan gas bumi ke lokasi di luar jangkauan pipa lewat solusi CNG terjadwal Gaslink, dengan penagihan berbasis pemakaian dan perjanjian pasok yang detailnya dibahas saat konsultasi. Langkah pertama yang masuk akal bukan berganti bahan bakar, melainkan menilai profil konsumsi dan eksposur harga Anda.</w:t>
      </w:r>
    </w:p>
    <w:p>
      <w:pPr>
        <w:pStyle w:val="BodyText"/>
      </w:pPr>
      <w:r>
        <w:t xml:space="preserve">Untuk mendiskusikan cara membuat biaya energi pabrik Anda lebih terprediksi, jelajahi pilihan pasokan gas bumi di gagas.co.id.</w:t>
      </w:r>
    </w:p>
    <w:bookmarkEnd w:id="34"/>
    <w:bookmarkEnd w:id="35"/>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2" Target="https://gagas.co.id/gasku/" TargetMode="External" /><Relationship Type="http://schemas.openxmlformats.org/officeDocument/2006/relationships/hyperlink" Id="rId17" Target="https://gagas.co.id/gaslink/" TargetMode="External" /><Relationship Type="http://schemas.openxmlformats.org/officeDocument/2006/relationships/hyperlink" Id="rId25" Target="https://gagas.co.id/perusahaan-cng-indonesia/" TargetMode="External" /><Relationship Type="http://schemas.openxmlformats.org/officeDocument/2006/relationships/hyperlink" Id="rId24" Target="https://reforminer.com/biaya-manfaat-implementasi-kebijkan-harga-gas-bumi-tertentu-hgbt-untuk-sektor-industri/" TargetMode="External" /><Relationship Type="http://schemas.openxmlformats.org/officeDocument/2006/relationships/hyperlink" Id="rId19" Target="https://www.esdm.go.id/id/media-center/arsip-berita/skema-baru-hgbt-perkuat-daya-saing-industri-dan-efisiensi-anggaran-negara" TargetMode="External" /></Relationships>
</file>

<file path=word/_rels/footnotes.xml.rels><?xml version="1.0" encoding="UTF-8"?><Relationships xmlns="http://schemas.openxmlformats.org/package/2006/relationships"><Relationship Type="http://schemas.openxmlformats.org/officeDocument/2006/relationships/hyperlink" Id="rId22" Target="https://gagas.co.id/gasku/" TargetMode="External" /><Relationship Type="http://schemas.openxmlformats.org/officeDocument/2006/relationships/hyperlink" Id="rId17" Target="https://gagas.co.id/gaslink/" TargetMode="External" /><Relationship Type="http://schemas.openxmlformats.org/officeDocument/2006/relationships/hyperlink" Id="rId25" Target="https://gagas.co.id/perusahaan-cng-indonesia/" TargetMode="External" /><Relationship Type="http://schemas.openxmlformats.org/officeDocument/2006/relationships/hyperlink" Id="rId24" Target="https://reforminer.com/biaya-manfaat-implementasi-kebijkan-harga-gas-bumi-tertentu-hgbt-untuk-sektor-industri/" TargetMode="External" /><Relationship Type="http://schemas.openxmlformats.org/officeDocument/2006/relationships/hyperlink" Id="rId19" Target="https://www.esdm.go.id/id/media-center/arsip-berita/skema-baru-hgbt-perkuat-daya-saing-industri-dan-efisiensi-anggaran-negar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2026-09-21T04:11:38Z</dcterms:created>
  <dcterms:modified xsi:type="dcterms:W3CDTF">2026-09-21T04:11:38Z</dcterms:modified>
</cp:coreProperties>
</file>

<file path=docProps/custom.xml><?xml version="1.0" encoding="utf-8"?>
<Properties xmlns="http://schemas.openxmlformats.org/officeDocument/2006/custom-properties" xmlns:vt="http://schemas.openxmlformats.org/officeDocument/2006/docPropsVTypes"/>
</file>