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article-metadata"/>
    <w:p>
      <w:pPr>
        <w:pStyle w:val="Heading1"/>
      </w:pPr>
      <w:r>
        <w:t xml:space="preserve">Article Metadata</w:t>
      </w:r>
    </w:p>
    <w:p>
      <w:pPr>
        <w:pStyle w:val="SourceCode"/>
      </w:pPr>
      <w:r>
        <w:rPr>
          <w:rStyle w:val="FunctionTok"/>
        </w:rPr>
        <w:t xml:space="preserve">title</w:t>
      </w:r>
      <w:r>
        <w:rPr>
          <w:rStyle w:val="KeywordTok"/>
        </w:rPr>
        <w:t xml:space="preserve">:</w:t>
      </w:r>
      <w:r>
        <w:rPr>
          <w:rStyle w:val="AttributeTok"/>
        </w:rPr>
        <w:t xml:space="preserve"> </w:t>
      </w:r>
      <w:r>
        <w:rPr>
          <w:rStyle w:val="StringTok"/>
        </w:rPr>
        <w:t xml:space="preserve">"Konversi Boiler &amp; Oven ke Gaslink: Panduan Retrofit per Industri"</w:t>
      </w:r>
      <w:r>
        <w:br/>
      </w:r>
      <w:r>
        <w:rPr>
          <w:rStyle w:val="FunctionTok"/>
        </w:rPr>
        <w:t xml:space="preserve">meta_title</w:t>
      </w:r>
      <w:r>
        <w:rPr>
          <w:rStyle w:val="KeywordTok"/>
        </w:rPr>
        <w:t xml:space="preserve">:</w:t>
      </w:r>
      <w:r>
        <w:rPr>
          <w:rStyle w:val="AttributeTok"/>
        </w:rPr>
        <w:t xml:space="preserve"> </w:t>
      </w:r>
      <w:r>
        <w:rPr>
          <w:rStyle w:val="StringTok"/>
        </w:rPr>
        <w:t xml:space="preserve">"Konversi Boiler ke Gaslink: Panduan Retrofit"</w:t>
      </w:r>
      <w:r>
        <w:br/>
      </w:r>
      <w:r>
        <w:rPr>
          <w:rStyle w:val="FunctionTok"/>
        </w:rPr>
        <w:t xml:space="preserve">meta_description</w:t>
      </w:r>
      <w:r>
        <w:rPr>
          <w:rStyle w:val="KeywordTok"/>
        </w:rPr>
        <w:t xml:space="preserve">:</w:t>
      </w:r>
      <w:r>
        <w:rPr>
          <w:rStyle w:val="AttributeTok"/>
        </w:rPr>
        <w:t xml:space="preserve"> </w:t>
      </w:r>
      <w:r>
        <w:rPr>
          <w:rStyle w:val="StringTok"/>
        </w:rPr>
        <w:t xml:space="preserve">"Panduan retrofit burner solar ke Gaslink per industri: tekstil, keramik, F&amp;B, farmasi. Cara konversi boiler &amp; oven, setel air-fuel ratio, dan commissioning."</w:t>
      </w:r>
      <w:r>
        <w:br/>
      </w:r>
      <w:r>
        <w:rPr>
          <w:rStyle w:val="FunctionTok"/>
        </w:rPr>
        <w:t xml:space="preserve">slug</w:t>
      </w:r>
      <w:r>
        <w:rPr>
          <w:rStyle w:val="KeywordTok"/>
        </w:rPr>
        <w:t xml:space="preserve">:</w:t>
      </w:r>
      <w:r>
        <w:rPr>
          <w:rStyle w:val="AttributeTok"/>
        </w:rPr>
        <w:t xml:space="preserve"> </w:t>
      </w:r>
      <w:r>
        <w:rPr>
          <w:rStyle w:val="StringTok"/>
        </w:rPr>
        <w:t xml:space="preserve">"gaslink-konversi-boiler-oven-retrofit"</w:t>
      </w:r>
      <w:r>
        <w:br/>
      </w:r>
      <w:r>
        <w:rPr>
          <w:rStyle w:val="FunctionTok"/>
        </w:rPr>
        <w:t xml:space="preserve">language</w:t>
      </w:r>
      <w:r>
        <w:rPr>
          <w:rStyle w:val="KeywordTok"/>
        </w:rPr>
        <w:t xml:space="preserve">:</w:t>
      </w:r>
      <w:r>
        <w:rPr>
          <w:rStyle w:val="AttributeTok"/>
        </w:rPr>
        <w:t xml:space="preserve"> </w:t>
      </w:r>
      <w:r>
        <w:rPr>
          <w:rStyle w:val="StringTok"/>
        </w:rPr>
        <w:t xml:space="preserve">"id"</w:t>
      </w:r>
      <w:r>
        <w:br/>
      </w:r>
      <w:r>
        <w:rPr>
          <w:rStyle w:val="FunctionTok"/>
        </w:rPr>
        <w:t xml:space="preserve">primary_keyword</w:t>
      </w:r>
      <w:r>
        <w:rPr>
          <w:rStyle w:val="KeywordTok"/>
        </w:rPr>
        <w:t xml:space="preserve">:</w:t>
      </w:r>
      <w:r>
        <w:rPr>
          <w:rStyle w:val="AttributeTok"/>
        </w:rPr>
        <w:t xml:space="preserve"> </w:t>
      </w:r>
      <w:r>
        <w:rPr>
          <w:rStyle w:val="StringTok"/>
        </w:rPr>
        <w:t xml:space="preserve">"Gaslink"</w:t>
      </w:r>
      <w:r>
        <w:br/>
      </w:r>
      <w:r>
        <w:rPr>
          <w:rStyle w:val="FunctionTok"/>
        </w:rPr>
        <w:t xml:space="preserve">secondary_keywords</w:t>
      </w:r>
      <w:r>
        <w:rPr>
          <w:rStyle w:val="KeywordTok"/>
        </w:rPr>
        <w:t xml:space="preserve">:</w:t>
      </w:r>
      <w:r>
        <w:rPr>
          <w:rStyle w:val="AttributeTok"/>
        </w:rPr>
        <w:t xml:space="preserve"> </w:t>
      </w:r>
      <w:r>
        <w:rPr>
          <w:rStyle w:val="KeywordTok"/>
        </w:rPr>
        <w:t xml:space="preserve">[</w:t>
      </w:r>
      <w:r>
        <w:rPr>
          <w:rStyle w:val="StringTok"/>
        </w:rPr>
        <w:t xml:space="preserve">"konversi boiler solar ke gas"</w:t>
      </w:r>
      <w:r>
        <w:rPr>
          <w:rStyle w:val="KeywordTok"/>
        </w:rPr>
        <w:t xml:space="preserve">,</w:t>
      </w:r>
      <w:r>
        <w:rPr>
          <w:rStyle w:val="AttributeTok"/>
        </w:rPr>
        <w:t xml:space="preserve"> </w:t>
      </w:r>
      <w:r>
        <w:rPr>
          <w:rStyle w:val="StringTok"/>
        </w:rPr>
        <w:t xml:space="preserve">"retrofit burner"</w:t>
      </w:r>
      <w:r>
        <w:rPr>
          <w:rStyle w:val="KeywordTok"/>
        </w:rPr>
        <w:t xml:space="preserve">,</w:t>
      </w:r>
      <w:r>
        <w:rPr>
          <w:rStyle w:val="AttributeTok"/>
        </w:rPr>
        <w:t xml:space="preserve"> </w:t>
      </w:r>
      <w:r>
        <w:rPr>
          <w:rStyle w:val="StringTok"/>
        </w:rPr>
        <w:t xml:space="preserve">"air-fuel ratio"</w:t>
      </w:r>
      <w:r>
        <w:rPr>
          <w:rStyle w:val="KeywordTok"/>
        </w:rPr>
        <w:t xml:space="preserve">,</w:t>
      </w:r>
      <w:r>
        <w:rPr>
          <w:rStyle w:val="AttributeTok"/>
        </w:rPr>
        <w:t xml:space="preserve"> </w:t>
      </w:r>
      <w:r>
        <w:rPr>
          <w:rStyle w:val="StringTok"/>
        </w:rPr>
        <w:t xml:space="preserve">"kiln keramik"</w:t>
      </w:r>
      <w:r>
        <w:rPr>
          <w:rStyle w:val="KeywordTok"/>
        </w:rPr>
        <w:t xml:space="preserve">,</w:t>
      </w:r>
      <w:r>
        <w:rPr>
          <w:rStyle w:val="AttributeTok"/>
        </w:rPr>
        <w:t xml:space="preserve"> </w:t>
      </w:r>
      <w:r>
        <w:rPr>
          <w:rStyle w:val="StringTok"/>
        </w:rPr>
        <w:t xml:space="preserve">"clean steam farmasi"</w:t>
      </w:r>
      <w:r>
        <w:rPr>
          <w:rStyle w:val="KeywordTok"/>
        </w:rPr>
        <w:t xml:space="preserve">,</w:t>
      </w:r>
      <w:r>
        <w:rPr>
          <w:rStyle w:val="AttributeTok"/>
        </w:rPr>
        <w:t xml:space="preserve"> </w:t>
      </w:r>
      <w:r>
        <w:rPr>
          <w:rStyle w:val="StringTok"/>
        </w:rPr>
        <w:t xml:space="preserve">"burner dual-fuel"</w:t>
      </w:r>
      <w:r>
        <w:rPr>
          <w:rStyle w:val="KeywordTok"/>
        </w:rPr>
        <w:t xml:space="preserve">,</w:t>
      </w:r>
      <w:r>
        <w:rPr>
          <w:rStyle w:val="AttributeTok"/>
        </w:rPr>
        <w:t xml:space="preserve"> </w:t>
      </w:r>
      <w:r>
        <w:rPr>
          <w:rStyle w:val="StringTok"/>
        </w:rPr>
        <w:t xml:space="preserve">"CNG industri"</w:t>
      </w:r>
      <w:r>
        <w:rPr>
          <w:rStyle w:val="KeywordTok"/>
        </w:rPr>
        <w:t xml:space="preserve">,</w:t>
      </w:r>
      <w:r>
        <w:rPr>
          <w:rStyle w:val="AttributeTok"/>
        </w:rPr>
        <w:t xml:space="preserve"> </w:t>
      </w:r>
      <w:r>
        <w:rPr>
          <w:rStyle w:val="StringTok"/>
        </w:rPr>
        <w:t xml:space="preserve">"calorific value gas bumi"</w:t>
      </w:r>
      <w:r>
        <w:rPr>
          <w:rStyle w:val="KeywordTok"/>
        </w:rPr>
        <w:t xml:space="preserve">]</w:t>
      </w:r>
      <w:r>
        <w:br/>
      </w:r>
      <w:r>
        <w:rPr>
          <w:rStyle w:val="FunctionTok"/>
        </w:rPr>
        <w:t xml:space="preserve">internal_links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"https://gagas.co.id/gaslink/"</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"Gaslink"</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"https://gagas.co.id/perusahaan-cng-indonesia/"</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"pemanfaatan CNG di industri Indonesia"</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"https://gagas.co.id/gasku/"</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"Gasku untuk sektor transportasi"</w:t>
      </w:r>
      <w:r>
        <w:br/>
      </w:r>
      <w:r>
        <w:rPr>
          <w:rStyle w:val="FunctionTok"/>
        </w:rPr>
        <w:t xml:space="preserve">external_citations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"https://www.esdm.go.id/id/media-center/arsip-berita/35-biaya-produksi-untuk-bahan-bakar-pelaku-industri-pakai-gas-lebih-hemat"</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"Gas bumi ~35% ongkos produksi industri keramik (PT KIA) dan klaim PGN penghematan hingga 40%"</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"https://ejournal.undip.ac.id/index.php/rotasi/article/view/4631"</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"Studi kasus konversi boiler solar ke gas Ebara HKL 1800 KA (ROTASI/Undip, 2013)"</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"https://jdih.kemnaker.go.id/peraturan/detail/2684/peraturan-menteri-nomor-4-tahun-2025"</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"Kewajiban sertifikasi operator pesawat uap (boiler) — Permenaker No. 4 Tahun 2025"</w:t>
      </w:r>
      <w:r>
        <w:br/>
      </w:r>
      <w:r>
        <w:rPr>
          <w:rStyle w:val="FunctionTok"/>
        </w:rPr>
        <w:t xml:space="preserve">brief_id</w:t>
      </w:r>
      <w:r>
        <w:rPr>
          <w:rStyle w:val="KeywordTok"/>
        </w:rPr>
        <w:t xml:space="preserve">:</w:t>
      </w:r>
      <w:r>
        <w:rPr>
          <w:rStyle w:val="AttributeTok"/>
        </w:rPr>
        <w:t xml:space="preserve"> </w:t>
      </w:r>
      <w:r>
        <w:rPr>
          <w:rStyle w:val="StringTok"/>
        </w:rPr>
        <w:t xml:space="preserve">"gaslink-03"</w:t>
      </w:r>
      <w:r>
        <w:br/>
      </w:r>
      <w:r>
        <w:rPr>
          <w:rStyle w:val="FunctionTok"/>
        </w:rPr>
        <w:t xml:space="preserve">target_word_count</w:t>
      </w:r>
      <w:r>
        <w:rPr>
          <w:rStyle w:val="KeywordTok"/>
        </w:rPr>
        <w:t xml:space="preserve">:</w:t>
      </w:r>
      <w:r>
        <w:rPr>
          <w:rStyle w:val="AttributeTok"/>
        </w:rPr>
        <w:t xml:space="preserve"> </w:t>
      </w:r>
      <w:r>
        <w:rPr>
          <w:rStyle w:val="DecValTok"/>
        </w:rPr>
        <w:t xml:space="preserve">1400</w:t>
      </w:r>
      <w:r>
        <w:br/>
      </w:r>
      <w:r>
        <w:rPr>
          <w:rStyle w:val="FunctionTok"/>
        </w:rPr>
        <w:t xml:space="preserve">publish_month</w:t>
      </w:r>
      <w:r>
        <w:rPr>
          <w:rStyle w:val="KeywordTok"/>
        </w:rPr>
        <w:t xml:space="preserve">:</w:t>
      </w:r>
      <w:r>
        <w:rPr>
          <w:rStyle w:val="AttributeTok"/>
        </w:rPr>
        <w:t xml:space="preserve"> </w:t>
      </w:r>
      <w:r>
        <w:rPr>
          <w:rStyle w:val="StringTok"/>
        </w:rPr>
        <w:t xml:space="preserve">"2026-09"</w:t>
      </w:r>
      <w:r>
        <w:br/>
      </w:r>
      <w:r>
        <w:rPr>
          <w:rStyle w:val="FunctionTok"/>
        </w:rPr>
        <w:t xml:space="preserve">word_count</w:t>
      </w:r>
      <w:r>
        <w:rPr>
          <w:rStyle w:val="KeywordTok"/>
        </w:rPr>
        <w:t xml:space="preserve">:</w:t>
      </w:r>
      <w:r>
        <w:rPr>
          <w:rStyle w:val="AttributeTok"/>
        </w:rPr>
        <w:t xml:space="preserve"> </w:t>
      </w:r>
      <w:r>
        <w:rPr>
          <w:rStyle w:val="DecValTok"/>
        </w:rPr>
        <w:t xml:space="preserve">1550</w:t>
      </w:r>
    </w:p>
    <w:p>
      <w:r>
        <w:pict>
          <v:rect style="width:0;height:1.5pt" o:hralign="center" o:hrstd="t" o:hr="t"/>
        </w:pict>
      </w:r>
    </w:p>
    <w:bookmarkEnd w:id="16"/>
    <w:bookmarkStart w:id="36" w:name="Xc92a39e8fd3496e9415571ce5e1f6057ede8cc2"/>
    <w:p>
      <w:pPr>
        <w:pStyle w:val="Heading1"/>
      </w:pPr>
      <w:r>
        <w:t xml:space="preserve">Konversi Boiler &amp; Oven ke Gaslink: Panduan Retrofit per Industri</w:t>
      </w:r>
    </w:p>
    <w:p>
      <w:pPr>
        <w:pStyle w:val="FirstParagraph"/>
      </w:pPr>
      <w:r>
        <w:t xml:space="preserve">Ketika harga solar industri naik dan tagihan bahan bakar boiler ikut membengkak, banyak pabrik melirik gas bumi. Tapi</w:t>
      </w:r>
      <w:r>
        <w:t xml:space="preserve"> </w:t>
      </w:r>
      <w:r>
        <w:t xml:space="preserve">“beralih ke gas”</w:t>
      </w:r>
      <w:r>
        <w:t xml:space="preserve"> </w:t>
      </w:r>
      <w:r>
        <w:t xml:space="preserve">bukan sekadar mengganti selang. Boiler steam di pabrik tekstil, kiln di pabrik keramik, oven di dapur F&amp;B, dan clean steam di farmasi menuntut pembakaran yang berbeda-beda. Artikel ini membedah sisi teknis retrofit peralatan pembakaran ke</w:t>
      </w:r>
      <w:r>
        <w:t xml:space="preserve"> </w:t>
      </w:r>
      <w:hyperlink r:id="rId17">
        <w:r>
          <w:rPr>
            <w:rStyle w:val="Hyperlink"/>
          </w:rPr>
          <w:t xml:space="preserve">Gaslink</w:t>
        </w:r>
      </w:hyperlink>
      <w:r>
        <w:t xml:space="preserve">: apa yang berubah di</w:t>
      </w:r>
      <w:r>
        <w:t xml:space="preserve"> </w:t>
      </w:r>
      <w:r>
        <w:rPr>
          <w:i/>
          <w:iCs/>
        </w:rPr>
        <w:t xml:space="preserve">burner</w:t>
      </w:r>
      <w:r>
        <w:t xml:space="preserve"> </w:t>
      </w:r>
      <w:r>
        <w:t xml:space="preserve">(unit pembakar), mengapa rasio udara-bahan bakar wajib disetel ulang, dan bagaimana kebutuhannya berbeda per industri.</w:t>
      </w:r>
    </w:p>
    <w:p>
      <w:pPr>
        <w:pStyle w:val="BlockText"/>
      </w:pPr>
      <w:r>
        <w:rPr>
          <w:b/>
          <w:bCs/>
        </w:rPr>
        <w:t xml:space="preserve">Ringkas:</w:t>
      </w:r>
      <w:r>
        <w:t xml:space="preserve"> </w:t>
      </w:r>
      <w:r>
        <w:rPr>
          <w:i/>
          <w:iCs/>
        </w:rPr>
        <w:t xml:space="preserve">Retrofit burner</w:t>
      </w:r>
      <w:r>
        <w:t xml:space="preserve"> </w:t>
      </w:r>
      <w:r>
        <w:t xml:space="preserve">adalah proses mengganti atau menyetel ulang unit pembakar pada boiler, oven, atau kiln agar dapat beroperasi dengan gas bumi menggantikan solar atau LPG. Prosesnya mencakup penyesuaian rasio udara-bahan bakar dan sistem kontrol keselamatan, karena karakteristik pembakaran gas berbeda dari bahan bakar cair, sementara badan peralatan utama umumnya tetap dipakai.</w:t>
      </w:r>
    </w:p>
    <w:p>
      <w:pPr>
        <w:pStyle w:val="FirstParagraph"/>
      </w:pPr>
      <w:r>
        <w:rPr>
          <w:i/>
          <w:iCs/>
        </w:rPr>
        <w:t xml:space="preserve">[Image 01: Diagram potongan melintang berdampingan, kiri burner solar dan kanan burner gas, dengan label komponen yang diganti (nozzle, kontrol air-fuel ratio, flame detector, solenoid valve) versus yang tetap (badan boiler, ruang bakar, pipa steam). Gaya teknis isometrik, palet biru-oranye, teks Bahasa Indonesia. Alt-text:</w:t>
      </w:r>
      <w:r>
        <w:rPr>
          <w:i/>
          <w:iCs/>
        </w:rPr>
        <w:t xml:space="preserve"> </w:t>
      </w:r>
      <w:r>
        <w:rPr>
          <w:i/>
          <w:iCs/>
        </w:rPr>
        <w:t xml:space="preserve">“Komponen burner yang diganti dan tetap saat retrofit boiler ke gas bumi.”</w:t>
      </w:r>
      <w:r>
        <w:rPr>
          <w:i/>
          <w:iCs/>
        </w:rPr>
        <w:t xml:space="preserve">]</w:t>
      </w:r>
    </w:p>
    <w:bookmarkStart w:id="19" w:name="X71cc8fa9d60a7a221e141a6da2d1c9615a2d947"/>
    <w:p>
      <w:pPr>
        <w:pStyle w:val="Heading2"/>
      </w:pPr>
      <w:r>
        <w:t xml:space="preserve">Apa yang Sebenarnya Berubah saat Peralatan Beralih dari Solar ke Gas?</w:t>
      </w:r>
    </w:p>
    <w:p>
      <w:pPr>
        <w:pStyle w:val="FirstParagraph"/>
      </w:pPr>
      <w:r>
        <w:t xml:space="preserve">Yang berubah adalah sistem pembakarannya, bukan seluruh peralatan. Retrofit berarti mengganti atau menyetel ulang burner, menyesuaikan rasio udara-bahan bakar (</w:t>
      </w:r>
      <w:r>
        <w:rPr>
          <w:i/>
          <w:iCs/>
        </w:rPr>
        <w:t xml:space="preserve">air-fuel ratio</w:t>
      </w:r>
      <w:r>
        <w:t xml:space="preserve">), dan memperbarui kontrol keselamatan agar cocok dengan gas. Badan boiler, oven, atau kiln, termasuk ruang bakar dan struktur bertekanannya, umumnya tetap dipakai selama masih laik pakai.</w:t>
      </w:r>
    </w:p>
    <w:p>
      <w:pPr>
        <w:pStyle w:val="BodyText"/>
      </w:pPr>
      <w:r>
        <w:t xml:space="preserve">Titik yang paling sering disalahpahami ada pada rasio udara-bahan bakar. Untuk gas bumi (metana), rasio stoikiometriknya sekitar 1:9,5 berdasarkan volume udara terhadap gas, bukan 14,7:1 yang lazim dikenal untuk mesin bensin. Angka 14,7:1 itu rasio massa untuk bahan bakar cair, beda fluida dan beda basis hitung, sehingga menyamakan keduanya membuat penyetelan burner meleset sejak awal.</w:t>
      </w:r>
    </w:p>
    <w:p>
      <w:pPr>
        <w:pStyle w:val="BodyText"/>
      </w:pPr>
      <w:r>
        <w:t xml:space="preserve">Di praktiknya, burner dijalankan dengan kelebihan udara (</w:t>
      </w:r>
      <w:r>
        <w:rPr>
          <w:i/>
          <w:iCs/>
        </w:rPr>
        <w:t xml:space="preserve">excess air</w:t>
      </w:r>
      <w:r>
        <w:t xml:space="preserve">) sekitar 10–20% di atas kebutuhan stoikiometrik demi pembakaran sempurna. Keuntungan gas bumi adalah nilai kalor (</w:t>
      </w:r>
      <w:r>
        <w:rPr>
          <w:i/>
          <w:iCs/>
        </w:rPr>
        <w:t xml:space="preserve">calorific value</w:t>
      </w:r>
      <w:r>
        <w:t xml:space="preserve">) yang relatif stabil, dengan kisaran standar 35,6 MJ/m³ (IEA), sehingga suhu pembakaran lebih mudah dijaga konsisten dibanding bahan bakar cair. Konsistensi inilah yang membuat</w:t>
      </w:r>
      <w:r>
        <w:t xml:space="preserve"> </w:t>
      </w:r>
      <w:hyperlink r:id="rId18">
        <w:r>
          <w:rPr>
            <w:rStyle w:val="Hyperlink"/>
          </w:rPr>
          <w:t xml:space="preserve">pemanfaatan CNG di industri Indonesia</w:t>
        </w:r>
      </w:hyperlink>
      <w:r>
        <w:t xml:space="preserve"> </w:t>
      </w:r>
      <w:r>
        <w:t xml:space="preserve">menarik bagi proses yang sensitif suhu.</w:t>
      </w:r>
    </w:p>
    <w:bookmarkEnd w:id="19"/>
    <w:bookmarkStart w:id="21" w:name="X8376491f6fdddd36ae118ac650da5eecd628886"/>
    <w:p>
      <w:pPr>
        <w:pStyle w:val="Heading2"/>
      </w:pPr>
      <w:r>
        <w:t xml:space="preserve">Peralatan Pembakaran Apa Saja yang Bisa Dikonversi ke Gaslink?</w:t>
      </w:r>
    </w:p>
    <w:p>
      <w:pPr>
        <w:pStyle w:val="FirstParagraph"/>
      </w:pPr>
      <w:r>
        <w:t xml:space="preserve">Sebagian besar peralatan berbahan bakar solar atau LPG bisa dikonversi: boiler pipa air penghasil steam,</w:t>
      </w:r>
      <w:r>
        <w:t xml:space="preserve"> </w:t>
      </w:r>
      <w:r>
        <w:rPr>
          <w:i/>
          <w:iCs/>
        </w:rPr>
        <w:t xml:space="preserve">thermal oil heater</w:t>
      </w:r>
      <w:r>
        <w:t xml:space="preserve">, oven, kiln atau</w:t>
      </w:r>
      <w:r>
        <w:t xml:space="preserve"> </w:t>
      </w:r>
      <w:r>
        <w:rPr>
          <w:i/>
          <w:iCs/>
        </w:rPr>
        <w:t xml:space="preserve">tunnel furnace</w:t>
      </w:r>
      <w:r>
        <w:t xml:space="preserve">, dryer, dan water heater. Kuncinya sama, yakni mengganti atau menyetel burner-nya. Yang membedakan hanya tingkat kerumitan, tergantung suhu kerja dan presisi yang dituntut prosesnya.</w:t>
      </w:r>
    </w:p>
    <w:p>
      <w:pPr>
        <w:pStyle w:val="BodyText"/>
      </w:pPr>
      <w:r>
        <w:t xml:space="preserve">Sebagai patokan kasar, kompleksitas retrofit naik seiring suhu dan presisi proses:</w:t>
      </w:r>
    </w:p>
    <w:p>
      <w:pPr>
        <w:pStyle w:val="Compact"/>
        <w:numPr>
          <w:ilvl w:val="0"/>
          <w:numId w:val="1001"/>
        </w:numPr>
      </w:pPr>
      <w:r>
        <w:rPr>
          <w:b/>
          <w:bCs/>
        </w:rPr>
        <w:t xml:space="preserve">Relatif sederhana:</w:t>
      </w:r>
      <w:r>
        <w:t xml:space="preserve"> </w:t>
      </w:r>
      <w:r>
        <w:t xml:space="preserve">boiler steam, oven, water heater, dan dryer dengan burner tunggal bertekanan rendah hingga menengah.</w:t>
      </w:r>
    </w:p>
    <w:p>
      <w:pPr>
        <w:pStyle w:val="Compact"/>
        <w:numPr>
          <w:ilvl w:val="0"/>
          <w:numId w:val="1001"/>
        </w:numPr>
      </w:pPr>
      <w:r>
        <w:rPr>
          <w:b/>
          <w:bCs/>
        </w:rPr>
        <w:t xml:space="preserve">Menengah:</w:t>
      </w:r>
      <w:r>
        <w:t xml:space="preserve"> </w:t>
      </w:r>
      <w:r>
        <w:t xml:space="preserve">thermal oil heater dan boiler kapasitas besar yang menuntut kontrol beban lebih ketat.</w:t>
      </w:r>
    </w:p>
    <w:p>
      <w:pPr>
        <w:pStyle w:val="Compact"/>
        <w:numPr>
          <w:ilvl w:val="0"/>
          <w:numId w:val="1001"/>
        </w:numPr>
      </w:pPr>
      <w:r>
        <w:rPr>
          <w:b/>
          <w:bCs/>
        </w:rPr>
        <w:t xml:space="preserve">Kompleks:</w:t>
      </w:r>
      <w:r>
        <w:t xml:space="preserve"> </w:t>
      </w:r>
      <w:r>
        <w:t xml:space="preserve">kiln keramik dan furnace bersuhu sangat tinggi, atau clean steam farmasi yang butuh validasi ketat.</w:t>
      </w:r>
    </w:p>
    <w:p>
      <w:pPr>
        <w:pStyle w:val="FirstParagraph"/>
      </w:pPr>
      <w:r>
        <w:t xml:space="preserve">Konsep mengonversi bahan bakar seperti ini bukan hal baru. Di sisi transportasi,</w:t>
      </w:r>
      <w:r>
        <w:t xml:space="preserve"> </w:t>
      </w:r>
      <w:hyperlink r:id="rId20">
        <w:r>
          <w:rPr>
            <w:rStyle w:val="Hyperlink"/>
          </w:rPr>
          <w:t xml:space="preserve">Gasku untuk sektor transportasi</w:t>
        </w:r>
      </w:hyperlink>
      <w:r>
        <w:t xml:space="preserve"> </w:t>
      </w:r>
      <w:r>
        <w:t xml:space="preserve">menerapkan prinsip serupa: mengubah sistem bahan bakar kendaraan dari BBM ke BBG, bukan sekadar mengganti tangki.</w:t>
      </w:r>
    </w:p>
    <w:bookmarkEnd w:id="21"/>
    <w:bookmarkStart w:id="23" w:name="Xfeebc5597bdce526daf9c565f5c6a556f0e03b3"/>
    <w:p>
      <w:pPr>
        <w:pStyle w:val="Heading2"/>
      </w:pPr>
      <w:r>
        <w:t xml:space="preserve">Konversi per Industri: Tekstil, Keramik, F&amp;B, dan Farmasi</w:t>
      </w:r>
    </w:p>
    <w:p>
      <w:pPr>
        <w:pStyle w:val="FirstParagraph"/>
      </w:pPr>
      <w:r>
        <w:t xml:space="preserve">Empat sektor ini menuntut pembakaran berbeda. Tekstil mengandalkan boiler steam untuk pencelupan dan finishing; keramik memakai kiln bersuhu 1.200–1.400°C; F&amp;B mengandalkan oven dan penggorengan bersuhu lebih rendah; farmasi butuh clean steam untuk sterilisasi. Karena itu kebutuhan retrofit burner dan kontrol suhunya pun tidak seragam.</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Industri</w:t>
            </w:r>
          </w:p>
        </w:tc>
        <w:tc>
          <w:tcPr/>
          <w:p>
            <w:pPr>
              <w:pStyle w:val="Compact"/>
            </w:pPr>
            <w:r>
              <w:t xml:space="preserve">Peralatan utama</w:t>
            </w:r>
          </w:p>
        </w:tc>
        <w:tc>
          <w:tcPr/>
          <w:p>
            <w:pPr>
              <w:pStyle w:val="Compact"/>
            </w:pPr>
            <w:r>
              <w:t xml:space="preserve">Kebutuhan panas tipikal</w:t>
            </w:r>
          </w:p>
        </w:tc>
        <w:tc>
          <w:tcPr/>
          <w:p>
            <w:pPr>
              <w:pStyle w:val="Compact"/>
            </w:pPr>
            <w:r>
              <w:t xml:space="preserve">Catatan retrofit</w:t>
            </w:r>
          </w:p>
        </w:tc>
      </w:tr>
      <w:tr>
        <w:tc>
          <w:tcPr/>
          <w:p>
            <w:pPr>
              <w:pStyle w:val="Compact"/>
            </w:pPr>
            <w:r>
              <w:t xml:space="preserve">Tekstil</w:t>
            </w:r>
          </w:p>
        </w:tc>
        <w:tc>
          <w:tcPr/>
          <w:p>
            <w:pPr>
              <w:pStyle w:val="Compact"/>
            </w:pPr>
            <w:r>
              <w:t xml:space="preserve">Boiler pipa air (steam)</w:t>
            </w:r>
          </w:p>
        </w:tc>
        <w:tc>
          <w:tcPr/>
          <w:p>
            <w:pPr>
              <w:pStyle w:val="Compact"/>
            </w:pPr>
            <w:r>
              <w:t xml:space="preserve">Steam bertekanan untuk proses basah; bervariasi per mesin</w:t>
            </w:r>
          </w:p>
        </w:tc>
        <w:tc>
          <w:tcPr/>
          <w:p>
            <w:pPr>
              <w:pStyle w:val="Compact"/>
            </w:pPr>
            <w:r>
              <w:t xml:space="preserve">Fokus pada stabilitas pasokan steam; retrofit umum</w:t>
            </w:r>
          </w:p>
        </w:tc>
      </w:tr>
      <w:tr>
        <w:tc>
          <w:tcPr/>
          <w:p>
            <w:pPr>
              <w:pStyle w:val="Compact"/>
            </w:pPr>
            <w:r>
              <w:t xml:space="preserve">Keramik</w:t>
            </w:r>
          </w:p>
        </w:tc>
        <w:tc>
          <w:tcPr/>
          <w:p>
            <w:pPr>
              <w:pStyle w:val="Compact"/>
            </w:pPr>
            <w:r>
              <w:t xml:space="preserve">Kiln / tunnel oven</w:t>
            </w:r>
          </w:p>
        </w:tc>
        <w:tc>
          <w:tcPr/>
          <w:p>
            <w:pPr>
              <w:pStyle w:val="Compact"/>
            </w:pPr>
            <w:r>
              <w:t xml:space="preserve">Zona firing ~1.200–1.400°C, 3 zona</w:t>
            </w:r>
          </w:p>
        </w:tc>
        <w:tc>
          <w:tcPr/>
          <w:p>
            <w:pPr>
              <w:pStyle w:val="Compact"/>
            </w:pPr>
            <w:r>
              <w:t xml:space="preserve">Presisi suhu krusial untuk mutu &amp; rendemen; tergolong kompleks</w:t>
            </w:r>
          </w:p>
        </w:tc>
      </w:tr>
      <w:tr>
        <w:tc>
          <w:tcPr/>
          <w:p>
            <w:pPr>
              <w:pStyle w:val="Compact"/>
            </w:pPr>
            <w:r>
              <w:t xml:space="preserve">F&amp;B</w:t>
            </w:r>
          </w:p>
        </w:tc>
        <w:tc>
          <w:tcPr/>
          <w:p>
            <w:pPr>
              <w:pStyle w:val="Compact"/>
            </w:pPr>
            <w:r>
              <w:t xml:space="preserve">Oven, penggorengan, unit steam</w:t>
            </w:r>
          </w:p>
        </w:tc>
        <w:tc>
          <w:tcPr/>
          <w:p>
            <w:pPr>
              <w:pStyle w:val="Compact"/>
            </w:pPr>
            <w:r>
              <w:t xml:space="preserve">Suhu rendah-menengah, bervariasi per produk</w:t>
            </w:r>
          </w:p>
        </w:tc>
        <w:tc>
          <w:tcPr/>
          <w:p>
            <w:pPr>
              <w:pStyle w:val="Compact"/>
            </w:pPr>
            <w:r>
              <w:t xml:space="preserve">Higienitas &amp; kontrol suhu prioritas; relatif sederhana</w:t>
            </w:r>
          </w:p>
        </w:tc>
      </w:tr>
      <w:tr>
        <w:tc>
          <w:tcPr/>
          <w:p>
            <w:pPr>
              <w:pStyle w:val="Compact"/>
            </w:pPr>
            <w:r>
              <w:t xml:space="preserve">Farmasi</w:t>
            </w:r>
          </w:p>
        </w:tc>
        <w:tc>
          <w:tcPr/>
          <w:p>
            <w:pPr>
              <w:pStyle w:val="Compact"/>
            </w:pPr>
            <w:r>
              <w:t xml:space="preserve">Boiler clean steam</w:t>
            </w:r>
          </w:p>
        </w:tc>
        <w:tc>
          <w:tcPr/>
          <w:p>
            <w:pPr>
              <w:pStyle w:val="Compact"/>
            </w:pPr>
            <w:r>
              <w:t xml:space="preserve">Sterilisasi ~121°C (setara 15 psig)</w:t>
            </w:r>
          </w:p>
        </w:tc>
        <w:tc>
          <w:tcPr/>
          <w:p>
            <w:pPr>
              <w:pStyle w:val="Compact"/>
            </w:pPr>
            <w:r>
              <w:t xml:space="preserve">Wajib validasi ulang sesuai CPOB/GMP; pembakaran bersih krusial</w:t>
            </w:r>
          </w:p>
        </w:tc>
      </w:tr>
    </w:tbl>
    <w:p>
      <w:pPr>
        <w:pStyle w:val="BodyText"/>
      </w:pPr>
      <w:r>
        <w:t xml:space="preserve">Angka penghematan sering dikutip di titik ini, tapi perlu ditempatkan dengan hati-hati. Pada kasus PT Keramika Indonesia Assosiasi (PT KIA), manajemen menyebut gas bumi sebagai komponen ongkos produksi terbesar, sekitar 35%, dan PGN mengklaim pemakaian gas dapat menekan biaya produksi hingga 40% lewat efisiensi bahan bakar (</w:t>
      </w:r>
      <w:hyperlink r:id="rId22">
        <w:r>
          <w:rPr>
            <w:rStyle w:val="Hyperlink"/>
          </w:rPr>
          <w:t xml:space="preserve">Kementerian ESDM, Mei 2018</w:t>
        </w:r>
      </w:hyperlink>
      <w:r>
        <w:t xml:space="preserve">). Ini kasus industri keramik, bukan patokan universal; untuk tekstil, porsi biaya bahan bakar sangat bervariasi per pabrik dan lebih jujur diperlakukan kualitatif.</w:t>
      </w:r>
    </w:p>
    <w:p>
      <w:pPr>
        <w:pStyle w:val="BodyText"/>
      </w:pPr>
      <w:r>
        <w:t xml:space="preserve">Farmasi berada di ujung lain spektrum. Clean steam untuk sterilisasi umumnya mengacu ke suhu sekitar 121°C (setara 15 psig uap jenuh) menurut literatur teknik farmasi internasional yang sejalan dengan prinsip GMP. Pembakaran bersih penting di sini, tapi spesifikasi finalnya tetap harus divalidasi sesuai dokumentasi CPOB tiap fasilitas, bukan angka generik.</w:t>
      </w:r>
    </w:p>
    <w:p>
      <w:pPr>
        <w:pStyle w:val="BodyText"/>
      </w:pPr>
      <w:r>
        <w:rPr>
          <w:i/>
          <w:iCs/>
        </w:rPr>
        <w:t xml:space="preserve">[Image 02: Infografis grid empat kolom (Tekstil, Keramik, F&amp;B, Farmasi), tiap kolom berisi ikon peralatan utama (boiler steam, kiln, oven, unit clean steam), rentang suhu kerja tipikal, dan satu catatan retrofit. Gaya flat, warna berbeda per industri. Alt-text:</w:t>
      </w:r>
      <w:r>
        <w:rPr>
          <w:i/>
          <w:iCs/>
        </w:rPr>
        <w:t xml:space="preserve"> </w:t>
      </w:r>
      <w:r>
        <w:rPr>
          <w:i/>
          <w:iCs/>
        </w:rPr>
        <w:t xml:space="preserve">“Perbandingan kebutuhan retrofit peralatan pembakaran di industri tekstil, keramik, F&amp;B, dan farmasi.”</w:t>
      </w:r>
      <w:r>
        <w:rPr>
          <w:i/>
          <w:iCs/>
        </w:rPr>
        <w:t xml:space="preserve">]</w:t>
      </w:r>
    </w:p>
    <w:bookmarkEnd w:id="23"/>
    <w:bookmarkStart w:id="25" w:name="Xf528be17f6471eb9b8df5c3cf35e0f372a9b0e0"/>
    <w:p>
      <w:pPr>
        <w:pStyle w:val="Heading2"/>
      </w:pPr>
      <w:r>
        <w:t xml:space="preserve">Tahapan Retrofit Burner: dari Audit sampai Commissioning</w:t>
      </w:r>
    </w:p>
    <w:p>
      <w:pPr>
        <w:pStyle w:val="FirstParagraph"/>
      </w:pPr>
      <w:r>
        <w:t xml:space="preserve">Retrofit yang tertata berjalan dalam lima tahap: audit konsumsi dan profil beban, pemilihan atau penggantian burner, penyetelan ulang rasio udara-bahan bakar dan kontrol, pengujian dan</w:t>
      </w:r>
      <w:r>
        <w:t xml:space="preserve"> </w:t>
      </w:r>
      <w:r>
        <w:rPr>
          <w:i/>
          <w:iCs/>
        </w:rPr>
        <w:t xml:space="preserve">commissioning</w:t>
      </w:r>
      <w:r>
        <w:t xml:space="preserve"> </w:t>
      </w:r>
      <w:r>
        <w:t xml:space="preserve">(uji fungsi), lalu pemantauan konsumsi. Urutan ini menjaga keselamatan sekaligus memastikan efisiensi benar-benar tercapai setelah bahan bakar berganti.</w:t>
      </w:r>
    </w:p>
    <w:p>
      <w:pPr>
        <w:pStyle w:val="Compact"/>
        <w:numPr>
          <w:ilvl w:val="0"/>
          <w:numId w:val="1002"/>
        </w:numPr>
      </w:pPr>
      <w:r>
        <w:rPr>
          <w:b/>
          <w:bCs/>
        </w:rPr>
        <w:t xml:space="preserve">Audit konsumsi &amp; profil beban.</w:t>
      </w:r>
      <w:r>
        <w:t xml:space="preserve"> </w:t>
      </w:r>
      <w:r>
        <w:t xml:space="preserve">Petakan pemakaian solar/LPG, pola beban harian, dan kapasitas panas yang benar-benar dibutuhkan.</w:t>
      </w:r>
    </w:p>
    <w:p>
      <w:pPr>
        <w:pStyle w:val="Compact"/>
        <w:numPr>
          <w:ilvl w:val="0"/>
          <w:numId w:val="1002"/>
        </w:numPr>
      </w:pPr>
      <w:r>
        <w:rPr>
          <w:b/>
          <w:bCs/>
        </w:rPr>
        <w:t xml:space="preserve">Pilih atau ganti burner.</w:t>
      </w:r>
      <w:r>
        <w:t xml:space="preserve"> </w:t>
      </w:r>
      <w:r>
        <w:t xml:space="preserve">Sesuaikan dengan jenis peralatan; burner</w:t>
      </w:r>
      <w:r>
        <w:t xml:space="preserve"> </w:t>
      </w:r>
      <w:r>
        <w:rPr>
          <w:i/>
          <w:iCs/>
        </w:rPr>
        <w:t xml:space="preserve">dual-fuel</w:t>
      </w:r>
      <w:r>
        <w:t xml:space="preserve"> </w:t>
      </w:r>
      <w:r>
        <w:t xml:space="preserve">(gas maupun solar) kerap dipakai sebagai jembatan transisi agar produksi tetap jalan bila pasokan gas terganggu.</w:t>
      </w:r>
    </w:p>
    <w:p>
      <w:pPr>
        <w:pStyle w:val="Compact"/>
        <w:numPr>
          <w:ilvl w:val="0"/>
          <w:numId w:val="1002"/>
        </w:numPr>
      </w:pPr>
      <w:r>
        <w:rPr>
          <w:b/>
          <w:bCs/>
        </w:rPr>
        <w:t xml:space="preserve">Setel ulang air-fuel ratio &amp; kontrol.</w:t>
      </w:r>
      <w:r>
        <w:t xml:space="preserve"> </w:t>
      </w:r>
      <w:r>
        <w:t xml:space="preserve">Kalibrasi rasio udara-gas serta perangkat keselamatan seperti flame detector dan solenoid valve.</w:t>
      </w:r>
    </w:p>
    <w:p>
      <w:pPr>
        <w:pStyle w:val="Compact"/>
        <w:numPr>
          <w:ilvl w:val="0"/>
          <w:numId w:val="1002"/>
        </w:numPr>
      </w:pPr>
      <w:r>
        <w:rPr>
          <w:b/>
          <w:bCs/>
        </w:rPr>
        <w:t xml:space="preserve">Uji &amp; commissioning.</w:t>
      </w:r>
      <w:r>
        <w:t xml:space="preserve"> </w:t>
      </w:r>
      <w:r>
        <w:t xml:space="preserve">Jalankan pengujian bertahap sebelum operasi penuh.</w:t>
      </w:r>
    </w:p>
    <w:p>
      <w:pPr>
        <w:pStyle w:val="Compact"/>
        <w:numPr>
          <w:ilvl w:val="0"/>
          <w:numId w:val="1002"/>
        </w:numPr>
      </w:pPr>
      <w:r>
        <w:rPr>
          <w:b/>
          <w:bCs/>
        </w:rPr>
        <w:t xml:space="preserve">Pantau konsumsi.</w:t>
      </w:r>
      <w:r>
        <w:t xml:space="preserve"> </w:t>
      </w:r>
      <w:r>
        <w:t xml:space="preserve">Verifikasi efisiensi aktual pasca-konversi lewat smart meter.</w:t>
      </w:r>
    </w:p>
    <w:p>
      <w:pPr>
        <w:pStyle w:val="FirstParagraph"/>
      </w:pPr>
      <w:r>
        <w:t xml:space="preserve">Sebagai gambaran perubahan konsumsi yang mungkin terjadi,</w:t>
      </w:r>
      <w:r>
        <w:t xml:space="preserve"> </w:t>
      </w:r>
      <w:hyperlink r:id="rId24">
        <w:r>
          <w:rPr>
            <w:rStyle w:val="Hyperlink"/>
          </w:rPr>
          <w:t xml:space="preserve">studi ROTASI/Undip (2013)</w:t>
        </w:r>
      </w:hyperlink>
      <w:r>
        <w:t xml:space="preserve"> </w:t>
      </w:r>
      <w:r>
        <w:t xml:space="preserve">pada satu unit boiler Ebara HKL 1800 KA di PT Indomobil Suzuki International (Tambun I) mencatat 260,79 kg solar/jam tergantikan oleh 21 m³ gas/jam untuk kapasitas steam setara, dengan estimasi hemat sekitar Rp1,29 juta/jam saat itu. Perlu digarisbawahi: ini contoh dari satu studi kasus tahun 2013 di satu pabrik, bukan patokan penghematan universal maupun harga terkini.</w:t>
      </w:r>
    </w:p>
    <w:p>
      <w:pPr>
        <w:pStyle w:val="BodyText"/>
      </w:pPr>
      <w:r>
        <w:t xml:space="preserve">Di sisi pasokan, PGN Gagas menyalurkan CNG (</w:t>
      </w:r>
      <w:r>
        <w:rPr>
          <w:i/>
          <w:iCs/>
        </w:rPr>
        <w:t xml:space="preserve">Compressed Natural Gas</w:t>
      </w:r>
      <w:r>
        <w:t xml:space="preserve">) ke lokasi lewat</w:t>
      </w:r>
      <w:r>
        <w:t xml:space="preserve"> </w:t>
      </w:r>
      <w:r>
        <w:rPr>
          <w:i/>
          <w:iCs/>
        </w:rPr>
        <w:t xml:space="preserve">Gas Transportation Module</w:t>
      </w:r>
      <w:r>
        <w:t xml:space="preserve"> </w:t>
      </w:r>
      <w:r>
        <w:t xml:space="preserve">(GTM) dan</w:t>
      </w:r>
      <w:r>
        <w:t xml:space="preserve"> </w:t>
      </w:r>
      <w:r>
        <w:rPr>
          <w:i/>
          <w:iCs/>
        </w:rPr>
        <w:t xml:space="preserve">Pressure Reduction Station</w:t>
      </w:r>
      <w:r>
        <w:t xml:space="preserve"> </w:t>
      </w:r>
      <w:r>
        <w:t xml:space="preserve">(PRS), serta menangani komisioning di sisi pasokan gas.</w:t>
      </w:r>
    </w:p>
    <w:p>
      <w:pPr>
        <w:pStyle w:val="BodyText"/>
      </w:pPr>
      <w:r>
        <w:t xml:space="preserve">Penyetelan burner-nya sendiri bukan urusan penyalur gas. Bagian itu tetap dikerjakan bersama vendor peralatan atau teknisi bersertifikat, disesuaikan dengan jenis dan kapasitas peralatan.</w:t>
      </w:r>
    </w:p>
    <w:p>
      <w:pPr>
        <w:pStyle w:val="BodyText"/>
      </w:pPr>
      <w:r>
        <w:rPr>
          <w:i/>
          <w:iCs/>
        </w:rPr>
        <w:t xml:space="preserve">[Image 03: Timeline horizontal bernomor lima tahap: audit konsumsi, pilih/ganti burner (opsi dual-fuel), setel ulang air-fuel ratio dan kontrol, uji dan commissioning, pantau via smart meter, dengan ikon truk GTM dan PRS di tahap commissioning. Gaya proses HowTo. Alt-text:</w:t>
      </w:r>
      <w:r>
        <w:rPr>
          <w:i/>
          <w:iCs/>
        </w:rPr>
        <w:t xml:space="preserve"> </w:t>
      </w:r>
      <w:r>
        <w:rPr>
          <w:i/>
          <w:iCs/>
        </w:rPr>
        <w:t xml:space="preserve">“Lima tahap retrofit burner dari audit hingga commissioning pasokan gas bumi.”</w:t>
      </w:r>
      <w:r>
        <w:rPr>
          <w:i/>
          <w:iCs/>
        </w:rPr>
        <w:t xml:space="preserve">]</w:t>
      </w:r>
    </w:p>
    <w:bookmarkEnd w:id="25"/>
    <w:bookmarkStart w:id="27" w:name="X213160b08de962c10fa3fea1e12bba63b1a326c"/>
    <w:p>
      <w:pPr>
        <w:pStyle w:val="Heading2"/>
      </w:pPr>
      <w:r>
        <w:t xml:space="preserve">Kapan Retrofit BELUM Sepadan — dan Kesalahan Teknis yang Sering Terjadi</w:t>
      </w:r>
    </w:p>
    <w:p>
      <w:pPr>
        <w:pStyle w:val="FirstParagraph"/>
      </w:pPr>
      <w:r>
        <w:t xml:space="preserve">Retrofit tidak selalu langkah terbaik. Peralatan yang sudah sangat tua atau mendekati akhir umur teknis sering lebih ekonomis diganti total ketimbang dipaksakan disetel ulang. Proses bersuhu ekstrem atau berpresisi tinggi juga butuh evaluasi khusus. Dan retrofit peralatan bertekanan jelas bukan pekerjaan coba-coba sendiri.</w:t>
      </w:r>
    </w:p>
    <w:p>
      <w:pPr>
        <w:pStyle w:val="BodyText"/>
      </w:pPr>
      <w:r>
        <w:t xml:space="preserve">Beberapa kesalahan teknis justru muncul dari hal mendasar. Pertama, rasio udara-bahan bakar tidak disetel ulang khusus untuk gas, sehingga burner boros atau menghasilkan emisi berlebih. Kedua, perbedaan nilai kalor gas dari bahan bakar sebelumnya diabaikan sehingga output panas meleset dari target. Ketiga, rasio 14,7:1 mesin bensin disamakan dengan burner gas yang basis hitungnya berbeda.</w:t>
      </w:r>
    </w:p>
    <w:p>
      <w:pPr>
        <w:pStyle w:val="BodyText"/>
      </w:pPr>
      <w:r>
        <w:t xml:space="preserve">Ada juga sisi legal yang tak bisa dilewati. Boiler tergolong pesawat uap, dan operatornya wajib bersertifikat sesuai</w:t>
      </w:r>
      <w:r>
        <w:t xml:space="preserve"> </w:t>
      </w:r>
      <w:hyperlink r:id="rId26">
        <w:r>
          <w:rPr>
            <w:rStyle w:val="Hyperlink"/>
          </w:rPr>
          <w:t xml:space="preserve">Permenaker No. 4 Tahun 2025</w:t>
        </w:r>
      </w:hyperlink>
      <w:r>
        <w:t xml:space="preserve">. Pemeriksaan keselamatan instalasi migas juga menuntut tenaga teknik bersertifikat, sejalan dengan regulasi ESDM tentang keselamatan instalasi migas (Permen ESDM No. 18 Tahun 2018). Retrofit adalah pekerjaan berstandar, bukan proyek akhir pekan.</w:t>
      </w:r>
    </w:p>
    <w:bookmarkEnd w:id="27"/>
    <w:bookmarkStart w:id="34" w:name="faq-pertanyaan-yang-sering-diajukan"/>
    <w:p>
      <w:pPr>
        <w:pStyle w:val="Heading2"/>
      </w:pPr>
      <w:r>
        <w:t xml:space="preserve">FAQ (Pertanyaan yang Sering Diajukan)</w:t>
      </w:r>
    </w:p>
    <w:bookmarkStart w:id="28" w:name="apa-itu-retrofit-burner"/>
    <w:p>
      <w:pPr>
        <w:pStyle w:val="Heading3"/>
      </w:pPr>
      <w:r>
        <w:t xml:space="preserve">Apa itu retrofit burner?</w:t>
      </w:r>
    </w:p>
    <w:p>
      <w:pPr>
        <w:pStyle w:val="FirstParagraph"/>
      </w:pPr>
      <w:r>
        <w:t xml:space="preserve">Retrofit burner adalah proses mengganti atau menyetel ulang unit pembakar pada boiler, oven, atau kiln agar bekerja dengan bahan bakar baru, misalnya dari solar/LPG ke gas bumi. Prosesnya juga menyesuaikan rasio udara-bahan bakar dan kontrol keselamatan, dan umumnya dikerjakan bersama vendor peralatan atau teknisi bersertifikat.</w:t>
      </w:r>
    </w:p>
    <w:bookmarkEnd w:id="28"/>
    <w:bookmarkStart w:id="29" w:name="X9e197ea50bf46c703dca14eb3a93b93dc29026e"/>
    <w:p>
      <w:pPr>
        <w:pStyle w:val="Heading3"/>
      </w:pPr>
      <w:r>
        <w:t xml:space="preserve">Apakah kiln keramik dan oven F&amp;B bisa pakai CNG?</w:t>
      </w:r>
    </w:p>
    <w:p>
      <w:pPr>
        <w:pStyle w:val="FirstParagraph"/>
      </w:pPr>
      <w:r>
        <w:t xml:space="preserve">Bisa, selama retrofit burner dan penyesuaian kontrol dilakukan dengan tepat. Kiln keramik bekerja pada zona firing 1.200–1.400°C dan menuntut pembakaran sangat konsisten, sementara oven serta penggorengan F&amp;B beroperasi jauh lebih rendah. Karena itu penyetelan burner kiln umumnya lebih kompleks dibanding oven F&amp;B.</w:t>
      </w:r>
    </w:p>
    <w:bookmarkEnd w:id="29"/>
    <w:bookmarkStart w:id="30" w:name="Xe8429760ad584bc2a93415df01a857267018e02"/>
    <w:p>
      <w:pPr>
        <w:pStyle w:val="Heading3"/>
      </w:pPr>
      <w:r>
        <w:t xml:space="preserve">Apakah konversi ke gas mengubah kualitas produk, misalnya pewarnaan tekstil?</w:t>
      </w:r>
    </w:p>
    <w:p>
      <w:pPr>
        <w:pStyle w:val="FirstParagraph"/>
      </w:pPr>
      <w:r>
        <w:t xml:space="preserve">Nilai kalor gas bumi relatif stabil, standar internasional sekitar 35,6 MJ/m³, sehingga mendukung suhu pembakaran lebih konsisten dibanding bahan bakar cair. Namun kualitas produk tetap bergantung pada penyetelan burner dan kontrol proses tiap pabrik, bukan otomatis membaik hanya karena mengganti bahan bakar.</w:t>
      </w:r>
    </w:p>
    <w:bookmarkEnd w:id="30"/>
    <w:bookmarkStart w:id="31" w:name="apa-itu-burner-dual-fuel"/>
    <w:p>
      <w:pPr>
        <w:pStyle w:val="Heading3"/>
      </w:pPr>
      <w:r>
        <w:t xml:space="preserve">Apa itu burner dual-fuel?</w:t>
      </w:r>
    </w:p>
    <w:p>
      <w:pPr>
        <w:pStyle w:val="FirstParagraph"/>
      </w:pPr>
      <w:r>
        <w:t xml:space="preserve">Burner dual-fuel dirancang beroperasi dengan dua bahan bakar, misalnya gas bumi dan solar, dan bisa beralih di antara keduanya. Skema ini sering jadi jembatan transisi: pabrik tetap beroperasi dengan bahan bakar cadangan bila pasokan gas terganggu, sehingga risiko downtime berkurang selama masa peralihan ke gas bumi.</w:t>
      </w:r>
    </w:p>
    <w:bookmarkEnd w:id="31"/>
    <w:bookmarkStart w:id="32" w:name="X1be53ab31ec67c1365d93b5a81876c7cfe4e26a"/>
    <w:p>
      <w:pPr>
        <w:pStyle w:val="Heading3"/>
      </w:pPr>
      <w:r>
        <w:t xml:space="preserve">Peralatan apa saja yang perlu diganti, dan mana yang tetap dipakai?</w:t>
      </w:r>
    </w:p>
    <w:p>
      <w:pPr>
        <w:pStyle w:val="FirstParagraph"/>
      </w:pPr>
      <w:r>
        <w:t xml:space="preserve">Yang diganti atau disetel ulang biasanya burner, kontrol air-fuel ratio, jalur pipa gas menuju burner, dan perangkat keselamatan seperti flame detector serta solenoid valve. Badan boiler, oven, atau kiln umumnya tetap dipakai selama masih laik; peralatan yang sudah sangat tua lebih baik diganti total.</w:t>
      </w:r>
    </w:p>
    <w:bookmarkEnd w:id="32"/>
    <w:bookmarkStart w:id="33" w:name="Xd8dbc8915510bf55d32ed7b16b4b543b300dc91"/>
    <w:p>
      <w:pPr>
        <w:pStyle w:val="Heading3"/>
      </w:pPr>
      <w:r>
        <w:t xml:space="preserve">Apakah industri farmasi bisa memakai gas bumi untuk clean steam?</w:t>
      </w:r>
    </w:p>
    <w:p>
      <w:pPr>
        <w:pStyle w:val="FirstParagraph"/>
      </w:pPr>
      <w:r>
        <w:t xml:space="preserve">Bisa, karena gas bumi menghasilkan pembakaran relatif bersih dan suhu konsisten, faktor penting untuk clean steam yang mensterilkan peralatan produksi. Standar rujukan internasional untuk sterilisasi uap sekitar 121°C (setara 15 psig), namun spesifikasinya tetap harus divalidasi sesuai CPOB/GMP fasilitas masing-masing.</w:t>
      </w:r>
    </w:p>
    <w:bookmarkEnd w:id="33"/>
    <w:bookmarkEnd w:id="34"/>
    <w:bookmarkStart w:id="35" w:name="kesimpulan"/>
    <w:p>
      <w:pPr>
        <w:pStyle w:val="Heading2"/>
      </w:pPr>
      <w:r>
        <w:t xml:space="preserve">Kesimpulan</w:t>
      </w:r>
    </w:p>
    <w:p>
      <w:pPr>
        <w:pStyle w:val="FirstParagraph"/>
      </w:pPr>
      <w:r>
        <w:t xml:space="preserve">Beralih dari solar ke gas bumi hampir selalu soal menyetel ulang sistem pembakaran, bukan membongkar seluruh pabrik. Yang menentukan hasil adalah ketepatan retrofit burner, penyetelan air-fuel ratio khusus untuk gas, dan pasokan bernilai kalor stabil, terutama untuk proses sensitif suhu seperti kiln keramik atau clean steam farmasi. Lewat Gaslink, PGN Gagas, anak usaha PGN yang merupakan bagian dari Subholding Gas Pertamina, menyalurkan CNG stabil ke lokasi industri dan komersial di luar jangkauan pipa serta menangani komisioning sisi pasokan gas. Sebelum berinvestasi, langkah paling masuk akal adalah mengasesmen kesiapan peralatan dan profil konsumsi Anda lebih dulu.</w:t>
      </w:r>
    </w:p>
    <w:p>
      <w:pPr>
        <w:pStyle w:val="BodyText"/>
      </w:pPr>
      <w:r>
        <w:t xml:space="preserve">Untuk menilai kesiapan boiler, oven, atau kiln Anda beralih ke Gaslink, mulai diskusi dan asesmennya di gagas.co.id.</w:t>
      </w:r>
    </w:p>
    <w:bookmarkEnd w:id="35"/>
    <w:bookmarkEnd w:id="36"/>
    <w:sectPr>
      <w:pgSz w:h="16834" w:orient="portrait" w:w="11909"/>
      <w:pgMar w:bottom="1440" w:footer="720" w:header="720" w:left="1440" w:right="1440" w:top="144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3">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rFonts w:ascii="Arial" w:cs="Arial" w:eastAsia="Arial" w:hAnsi="Arial"/>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4">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5">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1"/>
  </w:num>
  <w:num w:numId="2">
    <w:abstractNumId w:val="2"/>
  </w:num>
  <w:num w:numId="3">
    <w:abstractNumId w:val="3"/>
  </w:num>
  <w:num w:numId="4">
    <w:abstractNumId w:val="4"/>
  </w:num>
  <w:num w:numId="5">
    <w:abstractNumId w:val="5"/>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TrueTypeFonts w:val="1"/>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Arial" w:cs="Arial" w:eastAsia="Arial" w:hAnsi="Arial"/>
        <w:sz w:val="22"/>
        <w:szCs w:val="22"/>
        <w:lang w:val="en_GB"/>
      </w:rPr>
    </w:rPrDefault>
    <w:pPrDefault>
      <w:pPr>
        <w:spacing w:line="276" w:lineRule="auto"/>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keepNext w:val="1"/>
      <w:keepLines w:val="1"/>
      <w:pageBreakBefore w:val="0"/>
      <w:spacing w:after="120" w:before="400" w:lineRule="auto"/>
    </w:pPr>
    <w:rPr>
      <w:sz w:val="40"/>
      <w:szCs w:val="40"/>
    </w:rPr>
  </w:style>
  <w:style w:styleId="Heading2" w:type="paragraph">
    <w:name w:val="heading 2"/>
    <w:basedOn w:val="Normal"/>
    <w:next w:val="Normal"/>
    <w:pPr>
      <w:keepNext w:val="1"/>
      <w:keepLines w:val="1"/>
      <w:pageBreakBefore w:val="0"/>
      <w:spacing w:after="120" w:before="360" w:lineRule="auto"/>
    </w:pPr>
    <w:rPr>
      <w:b w:val="0"/>
      <w:bCs w:val="0"/>
      <w:sz w:val="32"/>
      <w:szCs w:val="32"/>
    </w:rPr>
  </w:style>
  <w:style w:styleId="Heading3" w:type="paragraph">
    <w:name w:val="heading 3"/>
    <w:basedOn w:val="Normal"/>
    <w:next w:val="Normal"/>
    <w:pPr>
      <w:keepNext w:val="1"/>
      <w:keepLines w:val="1"/>
      <w:pageBreakBefore w:val="0"/>
      <w:spacing w:after="80" w:before="320" w:lineRule="auto"/>
    </w:pPr>
    <w:rPr>
      <w:b w:val="0"/>
      <w:bCs w:val="0"/>
      <w:color w:val="434343"/>
      <w:sz w:val="28"/>
      <w:szCs w:val="28"/>
    </w:rPr>
  </w:style>
  <w:style w:styleId="Heading4" w:type="paragraph">
    <w:name w:val="heading 4"/>
    <w:basedOn w:val="Normal"/>
    <w:next w:val="Normal"/>
    <w:pPr>
      <w:keepNext w:val="1"/>
      <w:keepLines w:val="1"/>
      <w:pageBreakBefore w:val="0"/>
      <w:spacing w:after="80" w:before="280" w:lineRule="auto"/>
    </w:pPr>
    <w:rPr>
      <w:color w:val="666666"/>
      <w:sz w:val="24"/>
      <w:szCs w:val="24"/>
    </w:rPr>
  </w:style>
  <w:style w:styleId="Heading5" w:type="paragraph">
    <w:name w:val="heading 5"/>
    <w:basedOn w:val="Normal"/>
    <w:next w:val="Normal"/>
    <w:pPr>
      <w:keepNext w:val="1"/>
      <w:keepLines w:val="1"/>
      <w:pageBreakBefore w:val="0"/>
      <w:spacing w:after="80" w:before="240" w:lineRule="auto"/>
    </w:pPr>
    <w:rPr>
      <w:color w:val="666666"/>
      <w:sz w:val="22"/>
      <w:szCs w:val="22"/>
    </w:rPr>
  </w:style>
  <w:style w:styleId="Heading6" w:type="paragraph">
    <w:name w:val="heading 6"/>
    <w:basedOn w:val="Normal"/>
    <w:next w:val="Normal"/>
    <w:pPr>
      <w:keepNext w:val="1"/>
      <w:keepLines w:val="1"/>
      <w:pageBreakBefore w:val="0"/>
      <w:spacing w:after="80" w:before="240" w:lineRule="auto"/>
    </w:pPr>
    <w:rPr>
      <w:i w:val="1"/>
      <w:iCs w:val="1"/>
      <w:color w:val="666666"/>
      <w:sz w:val="22"/>
      <w:szCs w:val="22"/>
    </w:rPr>
  </w:style>
  <w:style w:styleId="Title" w:type="paragraph">
    <w:name w:val="Title"/>
    <w:basedOn w:val="Normal"/>
    <w:next w:val="Normal"/>
    <w:pPr>
      <w:keepNext w:val="1"/>
      <w:keepLines w:val="1"/>
      <w:pageBreakBefore w:val="0"/>
      <w:spacing w:after="60" w:before="0" w:lineRule="auto"/>
    </w:pPr>
    <w:rPr>
      <w:sz w:val="52"/>
      <w:szCs w:val="52"/>
    </w:rPr>
  </w:style>
  <w:style w:styleId="Subtitle" w:type="paragraph">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styleId="Table1" w:type="table">
    <w:basedOn w:val="TableNormal"/>
    <w:tblPr>
      <w:tblStyleRowBandSize w:val="1"/>
      <w:tblStyleColBandSize w:val="1"/>
      <w:tblCellMar/>
    </w:tblPr>
  </w:style>
  <w:style w:styleId="Table2" w:type="table">
    <w:basedOn w:val="TableNormal"/>
    <w:tblPr>
      <w:tblStyleRowBandSize w:val="1"/>
      <w:tblStyleColBandSize w:val="1"/>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character" w:styleId="Hyperlink">
    <w:name w:val="Hyperlink"/>
    <w:rPr>
      <w:color w:val="0563C1"/>
      <w:u w:val="singl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5" Target="numbering.xml" /><Relationship Type="http://schemas.openxmlformats.org/officeDocument/2006/relationships/styles" Id="rId14" Target="styles.xml" /><Relationship Type="http://schemas.openxmlformats.org/officeDocument/2006/relationships/settings" Id="rId13" Target="settings.xml" /><Relationship Type="http://schemas.openxmlformats.org/officeDocument/2006/relationships/webSettings" Id="rId12" Target="webSettings.xml" /><Relationship Type="http://schemas.openxmlformats.org/officeDocument/2006/relationships/fontTable" Id="rId11" Target="fontTable.xml" /><Relationship Type="http://schemas.openxmlformats.org/officeDocument/2006/relationships/theme" Id="rId10" Target="theme/theme1.xml" /><Relationship Type="http://schemas.openxmlformats.org/officeDocument/2006/relationships/footnotes" Id="rId9" Target="footnotes.xml" /><Relationship Type="http://schemas.openxmlformats.org/officeDocument/2006/relationships/comments" Id="rId8" Target="comments.xml" /><Relationship Id="rId7" Target="media/image1.png" Type="http://schemas.openxmlformats.org/officeDocument/2006/relationships/image" /><Relationship Type="http://schemas.openxmlformats.org/officeDocument/2006/relationships/hyperlink" Id="rId24" Target="https://ejournal.undip.ac.id/index.php/rotasi/article/view/4631" TargetMode="External" /><Relationship Type="http://schemas.openxmlformats.org/officeDocument/2006/relationships/hyperlink" Id="rId20" Target="https://gagas.co.id/gasku/" TargetMode="External" /><Relationship Type="http://schemas.openxmlformats.org/officeDocument/2006/relationships/hyperlink" Id="rId17" Target="https://gagas.co.id/gaslink/" TargetMode="External" /><Relationship Type="http://schemas.openxmlformats.org/officeDocument/2006/relationships/hyperlink" Id="rId18" Target="https://gagas.co.id/perusahaan-cng-indonesia/" TargetMode="External" /><Relationship Type="http://schemas.openxmlformats.org/officeDocument/2006/relationships/hyperlink" Id="rId26" Target="https://jdih.kemnaker.go.id/peraturan/detail/2684/peraturan-menteri-nomor-4-tahun-2025" TargetMode="External" /><Relationship Type="http://schemas.openxmlformats.org/officeDocument/2006/relationships/hyperlink" Id="rId22" Target="https://www.esdm.go.id/id/media-center/arsip-berita/35-biaya-produksi-untuk-bahan-bakar-pelaku-industri-pakai-gas-lebih-hemat" TargetMode="External" /></Relationships>
</file>

<file path=word/_rels/footnotes.xml.rels><?xml version="1.0" encoding="UTF-8"?><Relationships xmlns="http://schemas.openxmlformats.org/package/2006/relationships"><Relationship Type="http://schemas.openxmlformats.org/officeDocument/2006/relationships/hyperlink" Id="rId24" Target="https://ejournal.undip.ac.id/index.php/rotasi/article/view/4631" TargetMode="External" /><Relationship Type="http://schemas.openxmlformats.org/officeDocument/2006/relationships/hyperlink" Id="rId20" Target="https://gagas.co.id/gasku/" TargetMode="External" /><Relationship Type="http://schemas.openxmlformats.org/officeDocument/2006/relationships/hyperlink" Id="rId17" Target="https://gagas.co.id/gaslink/" TargetMode="External" /><Relationship Type="http://schemas.openxmlformats.org/officeDocument/2006/relationships/hyperlink" Id="rId18" Target="https://gagas.co.id/perusahaan-cng-indonesia/" TargetMode="External" /><Relationship Type="http://schemas.openxmlformats.org/officeDocument/2006/relationships/hyperlink" Id="rId26" Target="https://jdih.kemnaker.go.id/peraturan/detail/2684/peraturan-menteri-nomor-4-tahun-2025" TargetMode="External" /><Relationship Type="http://schemas.openxmlformats.org/officeDocument/2006/relationships/hyperlink" Id="rId22" Target="https://www.esdm.go.id/id/media-center/arsip-berita/35-biaya-produksi-untuk-bahan-bakar-pelaku-industri-pakai-gas-lebih-hema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2026-09-21T04:11:39Z</dcterms:created>
  <dcterms:modified xsi:type="dcterms:W3CDTF">2026-09-21T04:11:39Z</dcterms:modified>
</cp:coreProperties>
</file>

<file path=docProps/custom.xml><?xml version="1.0" encoding="utf-8"?>
<Properties xmlns="http://schemas.openxmlformats.org/officeDocument/2006/custom-properties" xmlns:vt="http://schemas.openxmlformats.org/officeDocument/2006/docPropsVTypes"/>
</file>