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"Tender &amp; Kontrak Payung Pengadaan CNG: Menilai Perusahaan CNG di Indonesia"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Panduan Tender &amp; Kontrak"</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menyusun tender &amp; kontrak payung pengadaan CNG: menyiapkan KAK, spesifikasi teknis, matriks evaluasi, dan verifikasi izin perusahaan CNG di Indonesia."</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"perusahaan-cng-indonesia-tender-kontrak-payung"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"KAK pengadaan gas"</w:t>
      </w:r>
      <w:r>
        <w:rPr>
          <w:rStyle w:val="KeywordTok"/>
        </w:rPr>
        <w:t xml:space="preserve">,</w:t>
      </w:r>
      <w:r>
        <w:rPr>
          <w:rStyle w:val="AttributeTok"/>
        </w:rPr>
        <w:t xml:space="preserve"> </w:t>
      </w:r>
      <w:r>
        <w:rPr>
          <w:rStyle w:val="StringTok"/>
        </w:rPr>
        <w:t xml:space="preserve">"kontrak payung gas"</w:t>
      </w:r>
      <w:r>
        <w:rPr>
          <w:rStyle w:val="KeywordTok"/>
        </w:rPr>
        <w:t xml:space="preserve">,</w:t>
      </w:r>
      <w:r>
        <w:rPr>
          <w:rStyle w:val="AttributeTok"/>
        </w:rPr>
        <w:t xml:space="preserve"> </w:t>
      </w:r>
      <w:r>
        <w:rPr>
          <w:rStyle w:val="StringTok"/>
        </w:rPr>
        <w:t xml:space="preserve">"matriks evaluasi vendor CNG"</w:t>
      </w:r>
      <w:r>
        <w:rPr>
          <w:rStyle w:val="KeywordTok"/>
        </w:rPr>
        <w:t xml:space="preserve">,</w:t>
      </w:r>
      <w:r>
        <w:rPr>
          <w:rStyle w:val="AttributeTok"/>
        </w:rPr>
        <w:t xml:space="preserve"> </w:t>
      </w:r>
      <w:r>
        <w:rPr>
          <w:rStyle w:val="StringTok"/>
        </w:rPr>
        <w:t xml:space="preserve">"Izin Usaha Niaga gas bumi"</w:t>
      </w:r>
      <w:r>
        <w:rPr>
          <w:rStyle w:val="KeywordTok"/>
        </w:rPr>
        <w:t xml:space="preserve">,</w:t>
      </w:r>
      <w:r>
        <w:rPr>
          <w:rStyle w:val="AttributeTok"/>
        </w:rPr>
        <w:t xml:space="preserve"> </w:t>
      </w:r>
      <w:r>
        <w:rPr>
          <w:rStyle w:val="StringTok"/>
        </w:rPr>
        <w:t xml:space="preserve">"spesifikasi teknis pasokan CNG"</w:t>
      </w:r>
      <w:r>
        <w:rPr>
          <w:rStyle w:val="KeywordTok"/>
        </w:rPr>
        <w:t xml:space="preserve">,</w:t>
      </w:r>
      <w:r>
        <w:rPr>
          <w:rStyle w:val="AttributeTok"/>
        </w:rPr>
        <w:t xml:space="preserve"> </w:t>
      </w:r>
      <w:r>
        <w:rPr>
          <w:rStyle w:val="StringTok"/>
        </w:rPr>
        <w:t xml:space="preserve">"minimum offtake"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untuk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"https://jdih.lkpp.go.id/regulation/peraturan-presiden/peraturan-presiden-nomor-12-tahun-2021"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kontrak payung — Pasal 27 ayat (8) Perpres 16/2018 jo. 12/2021"</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"https://migas.esdm.go.id/post/menteri-jonan-tetapkan-permen-esdm-tentang-pengusahaan-gas-bumi-pada-kegiatan-usaha-hilir-minyak-dan-gas-bumi"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Izin Usaha Niaga gas bumi (Permen ESDM 4/2018 jo. 19/2021)"</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"https://www.bphmigas.go.id/bph-migas-serahkan-sertifikat-hak-khusus-pengangkutan-gas-bumi-kepada-7-badan-usaha/"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mekanisme Hak Khusus BPH Migas (pengangkutan via pipa, berbasis lelang)"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"https://money.kompas.com/read/2026/08/19/142012026/cng-diangkut-pada-tekanan-200-bar-bagaimana-gas-aman-sampai-ke-kompor"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"Rentang tekanan kerja CNG dari transport (~200 bar) hingga pelanggan industri (~1–2 bar)"</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1462</w:t>
      </w:r>
    </w:p>
    <w:p>
      <w:r>
        <w:pict>
          <v:rect style="width:0;height:1.5pt" o:hralign="center" o:hrstd="t" o:hr="t"/>
        </w:pict>
      </w:r>
    </w:p>
    <w:bookmarkEnd w:id="16"/>
    <w:bookmarkStart w:id="35" w:name="X2454f3a7e22cda19ec0613daf760f885fd83169"/>
    <w:p>
      <w:pPr>
        <w:pStyle w:val="Heading1"/>
      </w:pPr>
      <w:r>
        <w:t xml:space="preserve">Tender &amp; Kontrak Payung Pengadaan CNG: Menilai Perusahaan CNG di Indonesia</w:t>
      </w:r>
    </w:p>
    <w:p>
      <w:pPr>
        <w:pStyle w:val="FirstParagraph"/>
      </w:pPr>
      <w:r>
        <w:t xml:space="preserve">Tim procurement sering diminta</w:t>
      </w:r>
      <w:r>
        <w:t xml:space="preserve"> </w:t>
      </w:r>
      <w:r>
        <w:t xml:space="preserve">“cari perusahaan CNG”</w:t>
      </w:r>
      <w:r>
        <w:t xml:space="preserve"> </w:t>
      </w:r>
      <w:r>
        <w:t xml:space="preserve">tanpa dokumen tender yang benar: KAK setengah jadi, spesifikasi teknis yang menyalin brosur vendor, dan bobot penilaian 100% ke harga. Akibatnya penawaran sulit dibandingkan setara, dan yang menang adalah yang termurah di atas kertas, lalu bermasalah di lapangan. Dengan puluhan</w:t>
      </w:r>
      <w:r>
        <w:t xml:space="preserve"> </w:t>
      </w:r>
      <w:hyperlink r:id="rId17">
        <w:r>
          <w:rPr>
            <w:rStyle w:val="Hyperlink"/>
          </w:rPr>
          <w:t xml:space="preserve">perusahaan CNG di Indonesia</w:t>
        </w:r>
      </w:hyperlink>
      <w:r>
        <w:t xml:space="preserve"> </w:t>
      </w:r>
      <w:r>
        <w:t xml:space="preserve">yang kini memegang izin niaga, menyaring penyedia yang tepat menuntut dokumen yang dirancang, bukan disalin. Artikel ini menunjukkan cara menyusun KAK, spesifikasi teknis, matriks evaluasi, dan struktur kontrak payung agar tender pasokan CNG menghasilkan penyedia yang andal.</w:t>
      </w:r>
    </w:p>
    <w:p>
      <w:pPr>
        <w:pStyle w:val="BlockText"/>
      </w:pPr>
      <w:r>
        <w:rPr>
          <w:b/>
          <w:bCs/>
        </w:rPr>
        <w:t xml:space="preserve">Ringkas:</w:t>
      </w:r>
      <w:r>
        <w:t xml:space="preserve"> </w:t>
      </w:r>
      <w:r>
        <w:t xml:space="preserve">Kontrak payung (</w:t>
      </w:r>
      <w:r>
        <w:rPr>
          <w:i/>
          <w:iCs/>
        </w:rPr>
        <w:t xml:space="preserve">umbrella contract</w:t>
      </w:r>
      <w:r>
        <w:t xml:space="preserve">) dalam pengadaan CNG (</w:t>
      </w:r>
      <w:r>
        <w:rPr>
          <w:i/>
          <w:iCs/>
        </w:rPr>
        <w:t xml:space="preserve">Compressed Natural Gas</w:t>
      </w:r>
      <w:r>
        <w:t xml:space="preserve">) adalah kontrak harga satuan untuk jangka waktu tertentu, di mana volume dan/atau waktu penyerahan gas belum ditentukan saat kontrak ditandatangani. Pola ini cocok untuk pasokan CNG yang berulang dan volumenya berfluktuasi mengikuti kebutuhan operasional pembeli, karena harga dan syarat sudah disepakati di muka.</w:t>
      </w:r>
    </w:p>
    <w:bookmarkStart w:id="19" w:name="X174c85f6e148be3aff98112d44344e7468214cc"/>
    <w:p>
      <w:pPr>
        <w:pStyle w:val="Heading2"/>
      </w:pPr>
      <w:r>
        <w:t xml:space="preserve">Apa Itu Kontrak Payung dan Kenapa Cocok untuk Pasokan CNG?</w:t>
      </w:r>
    </w:p>
    <w:p>
      <w:pPr>
        <w:pStyle w:val="FirstParagraph"/>
      </w:pPr>
      <w:r>
        <w:t xml:space="preserve">Kontrak payung adalah kontrak harga satuan berjangka waktu tertentu di mana volume dan waktu penyerahan belum dikunci saat penandatanganan. Istilah ini berasal dari pengadaan pemerintah (</w:t>
      </w:r>
      <w:hyperlink r:id="rId18">
        <w:r>
          <w:rPr>
            <w:rStyle w:val="Hyperlink"/>
          </w:rPr>
          <w:t xml:space="preserve">Pasal 27 ayat (8) Perpres 16/2018 dan perubahannya yang berlaku</w:t>
        </w:r>
      </w:hyperlink>
      <w:r>
        <w:t xml:space="preserve">), tetapi polanya relevan diadopsi pembeli B2B untuk pasokan CNG yang dikirim berulang sepanjang tahun.</w:t>
      </w:r>
    </w:p>
    <w:p>
      <w:pPr>
        <w:pStyle w:val="BodyText"/>
      </w:pPr>
      <w:r>
        <w:t xml:space="preserve">Kenapa cocok? Pasokan CNG bukan komoditas sekali beli, melainkan layanan berulang yang membundel pasokan, pengangkutan, regulasi tekanan, telemetri, dan SLA. Pembeli jarang tahu persis berapa m³ yang dipakai tiap bulan setahun ke depan, jadi mengunci satu volume tunggal tidak praktis. Kontrak payung menetapkan harga dan syarat di muka, lalu membiarkan volume aktual mengikuti kebutuhan operasional.</w:t>
      </w:r>
    </w:p>
    <w:p>
      <w:pPr>
        <w:pStyle w:val="BodyText"/>
      </w:pPr>
      <w:r>
        <w:t xml:space="preserve">Regulasi pengadaan pemerintah juga terus berubah: Perpres 16/2018 sudah diubah hingga Perpres 46/2025. Jadi bila dokumen merujuk pasalnya, sebut</w:t>
      </w:r>
      <w:r>
        <w:t xml:space="preserve"> </w:t>
      </w:r>
      <w:r>
        <w:t xml:space="preserve">“versi yang berlaku”</w:t>
      </w:r>
      <w:r>
        <w:t xml:space="preserve">. Bagi perusahaan swasta, ini analogi praktik, bukan kewajiban hukum.</w:t>
      </w:r>
    </w:p>
    <w:bookmarkEnd w:id="19"/>
    <w:bookmarkStart w:id="22" w:name="Xbc033609876fcd701dcf1535a95b2e538d864dd"/>
    <w:p>
      <w:pPr>
        <w:pStyle w:val="Heading2"/>
      </w:pPr>
      <w:r>
        <w:t xml:space="preserve">Lima Bagian Wajib dalam KAK/Spesifikasi Teknis Pengadaan CNG</w:t>
      </w:r>
    </w:p>
    <w:p>
      <w:pPr>
        <w:pStyle w:val="FirstParagraph"/>
      </w:pPr>
      <w:r>
        <w:t xml:space="preserve">KAK (Kerangka Acuan Kerja) pengadaan CNG yang kuat memuat lima bagian: profil konsumsi; spesifikasi pasokan dan distribusi; telemetri dan penagihan; SLA keandalan; serta HSE dan sertifikasi. Kelimanya menguji apakah penyedia bisa memenuhi kebutuhan operasional Anda, bukan mencocokkan istilah brosur.</w:t>
      </w:r>
    </w:p>
    <w:p>
      <w:pPr>
        <w:pStyle w:val="BodyText"/>
      </w:pPr>
      <w:r>
        <w:t xml:space="preserve">Yang membedakan spesifikasi baik dari yang menyalin brosur: ia berangkat dari kebutuhan pembeli, bukan katalog vendor.</w:t>
      </w:r>
    </w:p>
    <w:p>
      <w:pPr>
        <w:pStyle w:val="BodyText"/>
      </w:pPr>
      <w:r>
        <w:rPr>
          <w:i/>
          <w:iCs/>
        </w:rPr>
        <w:t xml:space="preserve">[Image 01: Infografik checklist</w:t>
      </w:r>
      <w:r>
        <w:rPr>
          <w:i/>
          <w:iCs/>
        </w:rPr>
        <w:t xml:space="preserve"> </w:t>
      </w:r>
      <w:r>
        <w:rPr>
          <w:i/>
          <w:iCs/>
        </w:rPr>
        <w:t xml:space="preserve">“5 Bagian Wajib KAK Pengadaan CNG”</w:t>
      </w:r>
      <w:r>
        <w:rPr>
          <w:i/>
          <w:iCs/>
        </w:rPr>
        <w:t xml:space="preserve">: lima ikon bernomor tersusun vertikal (profil konsumsi; spesifikasi pasokan &amp; distribusi; telemetri &amp; penagihan; SLA &amp; keandalan; HSE &amp; sertifikasi), gaya korporat biru-oranye, teks Bahasa Indonesia. Alt-text:</w:t>
      </w:r>
      <w:r>
        <w:rPr>
          <w:i/>
          <w:iCs/>
        </w:rPr>
        <w:t xml:space="preserve"> </w:t>
      </w:r>
      <w:r>
        <w:rPr>
          <w:i/>
          <w:iCs/>
        </w:rPr>
        <w:t xml:space="preserve">“Lima bagian wajib KAK pengadaan CNG”</w:t>
      </w:r>
      <w:r>
        <w:rPr>
          <w:i/>
          <w:iCs/>
        </w:rPr>
        <w:t xml:space="preserve">.]</w:t>
      </w:r>
    </w:p>
    <w:p>
      <w:pPr>
        <w:pStyle w:val="Compact"/>
        <w:numPr>
          <w:ilvl w:val="0"/>
          <w:numId w:val="1001"/>
        </w:numPr>
      </w:pPr>
      <w:r>
        <w:rPr>
          <w:b/>
          <w:bCs/>
        </w:rPr>
        <w:t xml:space="preserve">Profil konsumsi &amp; pola beban.</w:t>
      </w:r>
      <w:r>
        <w:t xml:space="preserve"> </w:t>
      </w:r>
      <w:r>
        <w:t xml:space="preserve">Cantumkan kebutuhan aktual (m³/bulan), pola beban harian/musiman, dan titik-titik lokasi. Tanpa ini, penyedia menebak dan penawaran sulit disejajarkan secara adil.</w:t>
      </w:r>
    </w:p>
    <w:p>
      <w:pPr>
        <w:pStyle w:val="Compact"/>
        <w:numPr>
          <w:ilvl w:val="0"/>
          <w:numId w:val="1001"/>
        </w:numPr>
      </w:pPr>
      <w:r>
        <w:rPr>
          <w:b/>
          <w:bCs/>
        </w:rPr>
        <w:t xml:space="preserve">Spesifikasi pasokan &amp; distribusi.</w:t>
      </w:r>
      <w:r>
        <w:t xml:space="preserve"> </w:t>
      </w:r>
      <w:r>
        <w:t xml:space="preserve">Inilah inti khas CNG: moda pengangkutan lewat</w:t>
      </w:r>
      <w:r>
        <w:t xml:space="preserve"> </w:t>
      </w:r>
      <w:r>
        <w:rPr>
          <w:i/>
          <w:iCs/>
        </w:rPr>
        <w:t xml:space="preserve">Gas Transportation Module</w:t>
      </w:r>
      <w:r>
        <w:t xml:space="preserve"> </w:t>
      </w:r>
      <w:r>
        <w:t xml:space="preserve">(GTM), cadangan pasokan saat gangguan, dan rentang tekanan kerja di titik serah. Sebagai gambaran, CNG diangkut pada tekanan sekitar 200 bar, diturunkan oleh</w:t>
      </w:r>
      <w:r>
        <w:t xml:space="preserve"> </w:t>
      </w:r>
      <w:r>
        <w:rPr>
          <w:i/>
          <w:iCs/>
        </w:rPr>
        <w:t xml:space="preserve">Pressure Reduction Station</w:t>
      </w:r>
      <w:r>
        <w:t xml:space="preserve"> </w:t>
      </w:r>
      <w:r>
        <w:t xml:space="preserve">(PRS) ke sekitar 3 bar, lalu disalurkan ke pelanggan industri/komersial pada sekitar 1–2 bar (Kompas.com, 19 Agustus 2026, mengutip Direktur Utama PGN Gagas). Di sinilah kebutuhan seperti</w:t>
      </w:r>
      <w:r>
        <w:t xml:space="preserve"> </w:t>
      </w:r>
      <w:hyperlink r:id="rId20">
        <w:r>
          <w:rPr>
            <w:rStyle w:val="Hyperlink"/>
          </w:rPr>
          <w:t xml:space="preserve">layanan Gaslink untuk industri &amp; komersial</w:t>
        </w:r>
      </w:hyperlink>
      <w:r>
        <w:t xml:space="preserve"> </w:t>
      </w:r>
      <w:r>
        <w:t xml:space="preserve">menjadi butir spesifikasi; untuk volume besar atau jarak jauh, cantumkan juga opsi</w:t>
      </w:r>
      <w:r>
        <w:t xml:space="preserve"> </w:t>
      </w:r>
      <w:hyperlink r:id="rId21">
        <w:r>
          <w:rPr>
            <w:rStyle w:val="Hyperlink"/>
          </w:rPr>
          <w:t xml:space="preserve">pasokan LNG untuk volume besar</w:t>
        </w:r>
      </w:hyperlink>
      <w:r>
        <w:t xml:space="preserve"> </w:t>
      </w:r>
      <w:r>
        <w:t xml:space="preserve">sebagai pembanding.</w:t>
      </w:r>
    </w:p>
    <w:p>
      <w:pPr>
        <w:pStyle w:val="Compact"/>
        <w:numPr>
          <w:ilvl w:val="0"/>
          <w:numId w:val="1001"/>
        </w:numPr>
      </w:pPr>
      <w:r>
        <w:rPr>
          <w:b/>
          <w:bCs/>
        </w:rPr>
        <w:t xml:space="preserve">Telemetri &amp; penagihan.</w:t>
      </w:r>
      <w:r>
        <w:t xml:space="preserve"> </w:t>
      </w:r>
      <w:r>
        <w:t xml:space="preserve">Minta</w:t>
      </w:r>
      <w:r>
        <w:t xml:space="preserve"> </w:t>
      </w:r>
      <w:r>
        <w:rPr>
          <w:i/>
          <w:iCs/>
        </w:rPr>
        <w:t xml:space="preserve">monitoring</w:t>
      </w:r>
      <w:r>
        <w:t xml:space="preserve"> </w:t>
      </w:r>
      <w:r>
        <w:t xml:space="preserve">pemakaian real-time, akurasi meter, dan transparansi laporan, agar tagihan bisa diaudit, bukan diterima apa adanya.</w:t>
      </w:r>
    </w:p>
    <w:p>
      <w:pPr>
        <w:pStyle w:val="Compact"/>
        <w:numPr>
          <w:ilvl w:val="0"/>
          <w:numId w:val="1001"/>
        </w:numPr>
      </w:pPr>
      <w:r>
        <w:rPr>
          <w:b/>
          <w:bCs/>
        </w:rPr>
        <w:t xml:space="preserve">SLA keandalan.</w:t>
      </w:r>
      <w:r>
        <w:t xml:space="preserve"> </w:t>
      </w:r>
      <w:r>
        <w:t xml:space="preserve">Tetapkan waktu respons gangguan, skema eskalasi, dan redundansi pasokan. Bagi pabrik yang berhenti saat gas putus, ini lebih penting daripada selisih harga.</w:t>
      </w:r>
    </w:p>
    <w:p>
      <w:pPr>
        <w:pStyle w:val="Compact"/>
        <w:numPr>
          <w:ilvl w:val="0"/>
          <w:numId w:val="1001"/>
        </w:numPr>
      </w:pPr>
      <w:r>
        <w:rPr>
          <w:b/>
          <w:bCs/>
        </w:rPr>
        <w:t xml:space="preserve">HSE &amp; sertifikasi.</w:t>
      </w:r>
      <w:r>
        <w:t xml:space="preserve"> </w:t>
      </w:r>
      <w:r>
        <w:t xml:space="preserve">Cantumkan syarat keselamatan dan sertifikasi mutu/K3, lalu perlakukan sebagai gate, bukan nilai tambah.</w:t>
      </w:r>
    </w:p>
    <w:bookmarkEnd w:id="22"/>
    <w:bookmarkStart w:id="23" w:name="X1033e83b08f741c904de2869a739f9b736667a7"/>
    <w:p>
      <w:pPr>
        <w:pStyle w:val="Heading2"/>
      </w:pPr>
      <w:r>
        <w:t xml:space="preserve">Bagaimana Cara Menilai Penawaran Beberapa Penyedia Secara Adil?</w:t>
      </w:r>
    </w:p>
    <w:p>
      <w:pPr>
        <w:pStyle w:val="FirstParagraph"/>
      </w:pPr>
      <w:r>
        <w:t xml:space="preserve">Nilai penawaran dengan matriks evaluasi berbobot, bukan harga tunggal. Legalitas dan keselamatan diperlakukan sebagai gate lolos/gugur sebelum skoring dimulai; sisanya dibagi antara aspek teknis dan harga. Praktik umum pada pengadaan yang menuntut keandalan memakai bobot teknis dominan, misalnya kisaran 60:40 hingga 70:30 (teknis:harga).</w:t>
      </w:r>
    </w:p>
    <w:p>
      <w:pPr>
        <w:pStyle w:val="BodyText"/>
      </w:pPr>
      <w:r>
        <w:t xml:space="preserve">Kuncinya dua hal. Pertama, jangan menilai harga sebelum kandidat lolos gate legal dan keselamatan, agar penawar murah tanpa izin tidak merusak perbandingan. Kedua, baca</w:t>
      </w:r>
      <w:r>
        <w:t xml:space="preserve"> </w:t>
      </w:r>
      <w:r>
        <w:t xml:space="preserve">“harga”</w:t>
      </w:r>
      <w:r>
        <w:t xml:space="preserve"> </w:t>
      </w:r>
      <w:r>
        <w:t xml:space="preserve">sebagai total biaya kepemilikan, termasuk eskalasi dan potensi beban minimum offtake, bukan hanya angka per satuan volume.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Tahap / Kriteria</w:t>
            </w:r>
          </w:p>
        </w:tc>
        <w:tc>
          <w:tcPr/>
          <w:p>
            <w:pPr>
              <w:pStyle w:val="Compact"/>
            </w:pPr>
            <w:r>
              <w:t xml:space="preserve">Bobot</w:t>
            </w:r>
          </w:p>
        </w:tc>
        <w:tc>
          <w:tcPr/>
          <w:p>
            <w:pPr>
              <w:pStyle w:val="Compact"/>
            </w:pPr>
            <w:r>
              <w:t xml:space="preserve">Yang dinilai</w:t>
            </w:r>
          </w:p>
        </w:tc>
      </w:tr>
      <w:tr>
        <w:tc>
          <w:tcPr/>
          <w:p>
            <w:pPr>
              <w:pStyle w:val="Compact"/>
            </w:pPr>
            <w:r>
              <w:t xml:space="preserve">Legalitas &amp; keselamatan (gate)</w:t>
            </w:r>
          </w:p>
        </w:tc>
        <w:tc>
          <w:tcPr/>
          <w:p>
            <w:pPr>
              <w:pStyle w:val="Compact"/>
            </w:pPr>
            <w:r>
              <w:t xml:space="preserve">Lolos/gugur</w:t>
            </w:r>
          </w:p>
        </w:tc>
        <w:tc>
          <w:tcPr/>
          <w:p>
            <w:pPr>
              <w:pStyle w:val="Compact"/>
            </w:pPr>
            <w:r>
              <w:t xml:space="preserve">IUN aktif (ESDM); ISO 9001 &amp; 45001; Hak Khusus</w:t>
            </w:r>
            <w:r>
              <w:t xml:space="preserve"> </w:t>
            </w:r>
            <w:r>
              <w:rPr>
                <w:i/>
                <w:iCs/>
              </w:rPr>
              <w:t xml:space="preserve">bila relevan</w:t>
            </w:r>
          </w:p>
        </w:tc>
      </w:tr>
      <w:tr>
        <w:tc>
          <w:tcPr/>
          <w:p>
            <w:pPr>
              <w:pStyle w:val="Compact"/>
            </w:pPr>
            <w:r>
              <w:t xml:space="preserve">Kapasitas &amp; keandalan pasokan</w:t>
            </w:r>
          </w:p>
        </w:tc>
        <w:tc>
          <w:tcPr/>
          <w:p>
            <w:pPr>
              <w:pStyle w:val="Compact"/>
            </w:pPr>
            <w:r>
              <w:t xml:space="preserve">30%</w:t>
            </w:r>
          </w:p>
        </w:tc>
        <w:tc>
          <w:tcPr/>
          <w:p>
            <w:pPr>
              <w:pStyle w:val="Compact"/>
            </w:pPr>
            <w:r>
              <w:t xml:space="preserve">Armada GTM, cadangan pasokan, rekam jejak SLA</w:t>
            </w:r>
          </w:p>
        </w:tc>
      </w:tr>
      <w:tr>
        <w:tc>
          <w:tcPr/>
          <w:p>
            <w:pPr>
              <w:pStyle w:val="Compact"/>
            </w:pPr>
            <w:r>
              <w:t xml:space="preserve">Telemetri &amp; penagihan</w:t>
            </w:r>
          </w:p>
        </w:tc>
        <w:tc>
          <w:tcPr/>
          <w:p>
            <w:pPr>
              <w:pStyle w:val="Compact"/>
            </w:pPr>
            <w:r>
              <w:t xml:space="preserve">15%</w:t>
            </w:r>
          </w:p>
        </w:tc>
        <w:tc>
          <w:tcPr/>
          <w:p>
            <w:pPr>
              <w:pStyle w:val="Compact"/>
            </w:pPr>
            <w:r>
              <w:t xml:space="preserve">Monitoring real-time, akurasi meter</w:t>
            </w:r>
          </w:p>
        </w:tc>
      </w:tr>
      <w:tr>
        <w:tc>
          <w:tcPr/>
          <w:p>
            <w:pPr>
              <w:pStyle w:val="Compact"/>
            </w:pPr>
            <w:r>
              <w:t xml:space="preserve">SLA &amp; respons darurat</w:t>
            </w:r>
          </w:p>
        </w:tc>
        <w:tc>
          <w:tcPr/>
          <w:p>
            <w:pPr>
              <w:pStyle w:val="Compact"/>
            </w:pPr>
            <w:r>
              <w:t xml:space="preserve">15%</w:t>
            </w:r>
          </w:p>
        </w:tc>
        <w:tc>
          <w:tcPr/>
          <w:p>
            <w:pPr>
              <w:pStyle w:val="Compact"/>
            </w:pPr>
            <w:r>
              <w:t xml:space="preserve">Waktu respons, eskalasi, redundansi</w:t>
            </w:r>
          </w:p>
        </w:tc>
      </w:tr>
      <w:tr>
        <w:tc>
          <w:tcPr/>
          <w:p>
            <w:pPr>
              <w:pStyle w:val="Compact"/>
            </w:pPr>
            <w:r>
              <w:t xml:space="preserve">Rekam jejak &amp; referensi</w:t>
            </w:r>
          </w:p>
        </w:tc>
        <w:tc>
          <w:tcPr/>
          <w:p>
            <w:pPr>
              <w:pStyle w:val="Compact"/>
            </w:pPr>
            <w:r>
              <w:t xml:space="preserve">10%</w:t>
            </w:r>
          </w:p>
        </w:tc>
        <w:tc>
          <w:tcPr/>
          <w:p>
            <w:pPr>
              <w:pStyle w:val="Compact"/>
            </w:pPr>
            <w:r>
              <w:t xml:space="preserve">Pengalaman segmen sejenis</w:t>
            </w:r>
          </w:p>
        </w:tc>
      </w:tr>
      <w:tr>
        <w:tc>
          <w:tcPr/>
          <w:p>
            <w:pPr>
              <w:pStyle w:val="Compact"/>
            </w:pPr>
            <w:r>
              <w:t xml:space="preserve">Harga (total biaya kepemilikan)</w:t>
            </w:r>
          </w:p>
        </w:tc>
        <w:tc>
          <w:tcPr/>
          <w:p>
            <w:pPr>
              <w:pStyle w:val="Compact"/>
            </w:pPr>
            <w:r>
              <w:t xml:space="preserve">30%</w:t>
            </w:r>
          </w:p>
        </w:tc>
        <w:tc>
          <w:tcPr/>
          <w:p>
            <w:pPr>
              <w:pStyle w:val="Compact"/>
            </w:pPr>
            <w:r>
              <w:t xml:space="preserve">Harga satuan + eskalasi + minimum offtake</w:t>
            </w:r>
          </w:p>
        </w:tc>
      </w:tr>
    </w:tbl>
    <w:p>
      <w:pPr>
        <w:pStyle w:val="BodyText"/>
      </w:pPr>
      <w:r>
        <w:t xml:space="preserve">Bobot 70:30 di tabel hanya contoh, bukan angka baku, sebab tidak ada regulasi yang mewajibkan bobot tertentu untuk pengadaan energi B2B.</w:t>
      </w:r>
    </w:p>
    <w:p>
      <w:pPr>
        <w:pStyle w:val="BodyText"/>
      </w:pPr>
      <w:r>
        <w:rPr>
          <w:i/>
          <w:iCs/>
        </w:rPr>
        <w:t xml:space="preserve">[Image 02: Diagram corong (funnel) evaluasi tender CNG dengan tiga tahap menyempit:</w:t>
      </w:r>
      <w:r>
        <w:rPr>
          <w:i/>
          <w:iCs/>
        </w:rPr>
        <w:t xml:space="preserve"> </w:t>
      </w:r>
      <w:r>
        <w:rPr>
          <w:i/>
          <w:iCs/>
        </w:rPr>
        <w:t xml:space="preserve">“Gate legal (IUN, ISO 9001/45001, Hak Khusus bila relevan)”</w:t>
      </w:r>
      <w:r>
        <w:rPr>
          <w:i/>
          <w:iCs/>
        </w:rPr>
        <w:t xml:space="preserve">, lalu</w:t>
      </w:r>
      <w:r>
        <w:rPr>
          <w:i/>
          <w:iCs/>
        </w:rPr>
        <w:t xml:space="preserve"> </w:t>
      </w:r>
      <w:r>
        <w:rPr>
          <w:i/>
          <w:iCs/>
        </w:rPr>
        <w:t xml:space="preserve">“Skoring teknis 70%”</w:t>
      </w:r>
      <w:r>
        <w:rPr>
          <w:i/>
          <w:iCs/>
        </w:rPr>
        <w:t xml:space="preserve">, lalu</w:t>
      </w:r>
      <w:r>
        <w:rPr>
          <w:i/>
          <w:iCs/>
        </w:rPr>
        <w:t xml:space="preserve"> </w:t>
      </w:r>
      <w:r>
        <w:rPr>
          <w:i/>
          <w:iCs/>
        </w:rPr>
        <w:t xml:space="preserve">“Skoring harga 30%”</w:t>
      </w:r>
      <w:r>
        <w:rPr>
          <w:i/>
          <w:iCs/>
        </w:rPr>
        <w:t xml:space="preserve">, berujung</w:t>
      </w:r>
      <w:r>
        <w:rPr>
          <w:i/>
          <w:iCs/>
        </w:rPr>
        <w:t xml:space="preserve"> </w:t>
      </w:r>
      <w:r>
        <w:rPr>
          <w:i/>
          <w:iCs/>
        </w:rPr>
        <w:t xml:space="preserve">“Pemenang”</w:t>
      </w:r>
      <w:r>
        <w:rPr>
          <w:i/>
          <w:iCs/>
        </w:rPr>
        <w:t xml:space="preserve">. Gradasi biru ke oranye, teks Bahasa Indonesia. Alt-text:</w:t>
      </w:r>
      <w:r>
        <w:rPr>
          <w:i/>
          <w:iCs/>
        </w:rPr>
        <w:t xml:space="preserve"> </w:t>
      </w:r>
      <w:r>
        <w:rPr>
          <w:i/>
          <w:iCs/>
        </w:rPr>
        <w:t xml:space="preserve">“Corong evaluasi tender pengadaan CNG”</w:t>
      </w:r>
      <w:r>
        <w:rPr>
          <w:i/>
          <w:iCs/>
        </w:rPr>
        <w:t xml:space="preserve">.]</w:t>
      </w:r>
    </w:p>
    <w:bookmarkEnd w:id="23"/>
    <w:bookmarkStart w:id="26" w:name="X24f650cef388857e389d055b4e79059499f407b"/>
    <w:p>
      <w:pPr>
        <w:pStyle w:val="Heading2"/>
      </w:pPr>
      <w:r>
        <w:t xml:space="preserve">Legalitas yang Harus Jadi Syarat Gugur, Bukan Sekadar Nilai Tambah</w:t>
      </w:r>
    </w:p>
    <w:p>
      <w:pPr>
        <w:pStyle w:val="FirstParagraph"/>
      </w:pPr>
      <w:r>
        <w:t xml:space="preserve">Verifikasi legalitas sebagai syarat gugur, bukan poin bonus. Gate paling langsung untuk niaga CNG adalah</w:t>
      </w:r>
      <w:r>
        <w:t xml:space="preserve"> </w:t>
      </w:r>
      <w:hyperlink r:id="rId24">
        <w:r>
          <w:rPr>
            <w:rStyle w:val="Hyperlink"/>
          </w:rPr>
          <w:t xml:space="preserve">Izin Usaha Niaga (IUN) gas bumi dari Kementerian ESDM</w:t>
        </w:r>
      </w:hyperlink>
      <w:r>
        <w:t xml:space="preserve">, yang berdasar pada Permen ESDM 4/2018 jo. 19/2021. Penyedia tanpa IUN aktif seharusnya gugur sebelum penawaran harganya dibaca.</w:t>
      </w:r>
    </w:p>
    <w:p>
      <w:pPr>
        <w:pStyle w:val="BodyText"/>
      </w:pPr>
      <w:r>
        <w:t xml:space="preserve">Ini sering disalahpahami: Permen ESDM 32/2021 kadang dikutip sebagai dasar izin niaga, padahal itu mengatur inspeksi teknis dan keselamatan instalasi migas, bukan perizinan niaga. Rujukan IUN tetap Permen ESDM 4/2018 jo. 19/2021.</w:t>
      </w:r>
    </w:p>
    <w:p>
      <w:pPr>
        <w:pStyle w:val="BodyText"/>
      </w:pPr>
      <w:hyperlink r:id="rId25">
        <w:r>
          <w:rPr>
            <w:rStyle w:val="Hyperlink"/>
          </w:rPr>
          <w:t xml:space="preserve">Hak Khusus BPH Migas</w:t>
        </w:r>
      </w:hyperlink>
      <w:r>
        <w:t xml:space="preserve"> </w:t>
      </w:r>
      <w:r>
        <w:t xml:space="preserve">adalah rezim berbeda: diterbitkan otoritas berbeda (BPH Migas, bukan ESDM), berbasis lelang, dan spesifik untuk mengoperasikan pengangkutan gas bumi melalui pipa pada ruas transmisi atau wilayah distribusi. Karena regulasi memakai konstruksi</w:t>
      </w:r>
      <w:r>
        <w:t xml:space="preserve"> </w:t>
      </w:r>
      <w:r>
        <w:t xml:space="preserve">“dan/atau”</w:t>
      </w:r>
      <w:r>
        <w:t xml:space="preserve">, untuk pasokan CNG murni via truk/GTM, IUN saja umumnya cukup; Hak Khusus baru relevan bila penyedia juga mengoperasikan jaringan pipa. Jangan menuliskan keduanya sebagai satu paket wajib.</w:t>
      </w:r>
    </w:p>
    <w:p>
      <w:pPr>
        <w:pStyle w:val="BodyText"/>
      </w:pPr>
      <w:r>
        <w:t xml:space="preserve">Dua catatan lagi sebelum menutup daftar gate:</w:t>
      </w:r>
    </w:p>
    <w:p>
      <w:pPr>
        <w:pStyle w:val="Compact"/>
        <w:numPr>
          <w:ilvl w:val="0"/>
          <w:numId w:val="1002"/>
        </w:numPr>
      </w:pPr>
      <w:r>
        <w:rPr>
          <w:b/>
          <w:bCs/>
        </w:rPr>
        <w:t xml:space="preserve">ISO 9001 &amp; ISO 45001.</w:t>
      </w:r>
      <w:r>
        <w:t xml:space="preserve"> </w:t>
      </w:r>
      <w:r>
        <w:t xml:space="preserve">Layak jadi gate karena menyangkut mutu dan K3, tetapi statusnya praktik terbaik yang lazim disyaratkan di sektor migas, bukan mandat satu regulasi.</w:t>
      </w:r>
    </w:p>
    <w:p>
      <w:pPr>
        <w:pStyle w:val="Compact"/>
        <w:numPr>
          <w:ilvl w:val="0"/>
          <w:numId w:val="1002"/>
        </w:numPr>
      </w:pPr>
      <w:r>
        <w:rPr>
          <w:b/>
          <w:bCs/>
        </w:rPr>
        <w:t xml:space="preserve">Ambang e-katalog LKPP.</w:t>
      </w:r>
      <w:r>
        <w:t xml:space="preserve"> </w:t>
      </w:r>
      <w:r>
        <w:t xml:space="preserve">Ketentuan pengadaan langsung sampai Rp200 juta lewat e-Purchasing hanya mengikat instansi pemerintah ber-APBN/APBD, bukan korporasi swasta.</w:t>
      </w:r>
    </w:p>
    <w:p>
      <w:pPr>
        <w:pStyle w:val="FirstParagraph"/>
      </w:pPr>
      <w:r>
        <w:t xml:space="preserve">Penyedia yang serius, misalnya badan usaha dalam ekosistem PGN, umumnya sudah memegang IUN dan sertifikasi ISO yang relevan; justru butir inilah yang harus diminta eksplisit di dokumen tender.</w:t>
      </w:r>
    </w:p>
    <w:bookmarkEnd w:id="26"/>
    <w:bookmarkStart w:id="27" w:name="X2dbddab63b6b23083499e8ff2c7099fd59d5cac"/>
    <w:p>
      <w:pPr>
        <w:pStyle w:val="Heading2"/>
      </w:pPr>
      <w:r>
        <w:t xml:space="preserve">Kapan Tender Terbuka Justru Bukan Pilihan Terbaik</w:t>
      </w:r>
    </w:p>
    <w:p>
      <w:pPr>
        <w:pStyle w:val="FirstParagraph"/>
      </w:pPr>
      <w:r>
        <w:t xml:space="preserve">Tender terbuka penuh tidak selalu sepadan. Untuk volume kecil atau lokasi tunggal, biaya dan waktu menyusun tender bisa melebihi manfaatnya; penunjukan langsung atau e-katalog (bagi instansi) sering lebih rasional. Dokumen sempurna pun tidak menutup satu hal: kesiapan lokasi dan kejelasan kebutuhan di sisi pembeli sendiri.</w:t>
      </w:r>
    </w:p>
    <w:p>
      <w:pPr>
        <w:pStyle w:val="BodyText"/>
      </w:pPr>
      <w:r>
        <w:t xml:space="preserve">Ada juga jebakan dari dokumen itu sendiri. Klausul minimum offtake yang terlalu agresif di RFP terlihat</w:t>
      </w:r>
      <w:r>
        <w:t xml:space="preserve"> </w:t>
      </w:r>
      <w:r>
        <w:t xml:space="preserve">“aman”</w:t>
      </w:r>
      <w:r>
        <w:t xml:space="preserve"> </w:t>
      </w:r>
      <w:r>
        <w:t xml:space="preserve">bagi penyedia, tetapi mengunci pembeli membayar volume yang belum tentu terpakai bila permintaan belum stabil. Sepadankan komitmen volume dengan kepastian kebutuhan.</w:t>
      </w:r>
    </w:p>
    <w:p>
      <w:pPr>
        <w:pStyle w:val="BodyText"/>
      </w:pPr>
      <w:r>
        <w:t xml:space="preserve">Dan jujur saja: dokumen tender terbaik pun tidak bisa memperbaiki ruang gas yang belum siap, akses truk GTM yang sulit, atau profil konsumsi yang belum pernah dihitung. Bereskan kesiapan internal lebih dulu, baru tender bekerja seperti seharusnya.</w:t>
      </w:r>
    </w:p>
    <w:bookmarkEnd w:id="27"/>
    <w:bookmarkStart w:id="33" w:name="faq-pertanyaan-yang-sering-diajukan"/>
    <w:p>
      <w:pPr>
        <w:pStyle w:val="Heading2"/>
      </w:pPr>
      <w:r>
        <w:t xml:space="preserve">FAQ (Pertanyaan yang Sering Diajukan)</w:t>
      </w:r>
    </w:p>
    <w:bookmarkStart w:id="28" w:name="Xb1f40e71ad1c352586d2380ff1bc588a91bfa42"/>
    <w:p>
      <w:pPr>
        <w:pStyle w:val="Heading3"/>
      </w:pPr>
      <w:r>
        <w:t xml:space="preserve">Apa itu kontrak payung dalam pengadaan CNG?</w:t>
      </w:r>
    </w:p>
    <w:p>
      <w:pPr>
        <w:pStyle w:val="FirstParagraph"/>
      </w:pPr>
      <w:r>
        <w:t xml:space="preserve">Kontrak payung adalah kontrak harga satuan berjangka waktu tertentu, di mana volume dan waktu penyerahan gas belum dikunci saat penandatanganan (Pasal 27 ayat (8) Perpres 16/2018 jo. perubahannya). Untuk pasokan CNG yang berulang, harga dan syarat disepakati di muka, sementara pengiriman menyesuaikan kebutuhan operasional pembeli.</w:t>
      </w:r>
    </w:p>
    <w:bookmarkEnd w:id="28"/>
    <w:bookmarkStart w:id="29" w:name="Xf85bb5e37211c8710d2c9a69302ffb1f324abe3"/>
    <w:p>
      <w:pPr>
        <w:pStyle w:val="Heading3"/>
      </w:pPr>
      <w:r>
        <w:t xml:space="preserve">Berapa banyak perusahaan CNG di Indonesia saat ini?</w:t>
      </w:r>
    </w:p>
    <w:p>
      <w:pPr>
        <w:pStyle w:val="FirstParagraph"/>
      </w:pPr>
      <w:r>
        <w:t xml:space="preserve">Menurut data Kementerian ESDM per semester II-2025 sebagaimana dilaporkan Beritasatu dan Bloomberg Technoz, terdapat 53 badan usaha pemegang izin niaga CNG, naik dari 33 pada semester I-2025. Jumlah yang banyak justru berarti pembeli butuh kerangka penyaringan yang jelas, bukan sekadar memilih penawar termurah.</w:t>
      </w:r>
    </w:p>
    <w:bookmarkEnd w:id="29"/>
    <w:bookmarkStart w:id="30" w:name="X246811ffbeab656cf7e1853a36d8e5054b2753f"/>
    <w:p>
      <w:pPr>
        <w:pStyle w:val="Heading3"/>
      </w:pPr>
      <w:r>
        <w:t xml:space="preserve">Izin apa yang wajib diverifikasi dari penyedia CNG?</w:t>
      </w:r>
    </w:p>
    <w:p>
      <w:pPr>
        <w:pStyle w:val="FirstParagraph"/>
      </w:pPr>
      <w:r>
        <w:t xml:space="preserve">Gate utamanya adalah Izin Usaha Niaga (IUN) gas bumi dari Kementerian ESDM, berdasar Permen ESDM 4/2018 jo. 19/2021, yang berlaku umum untuk badan usaha niaga CNG. Hak Khusus BPH Migas relevan bila penyedia juga mengoperasikan ruas pipa; untuk CNG via truk, verifikasi IUN adalah gate paling langsung.</w:t>
      </w:r>
    </w:p>
    <w:bookmarkEnd w:id="30"/>
    <w:bookmarkStart w:id="31" w:name="X73cf43b27ae72bb7a28f1aafbcbe819f7704a88"/>
    <w:p>
      <w:pPr>
        <w:pStyle w:val="Heading3"/>
      </w:pPr>
      <w:r>
        <w:t xml:space="preserve">Apakah klausul minimum offtake wajib dalam kontrak CNG?</w:t>
      </w:r>
    </w:p>
    <w:p>
      <w:pPr>
        <w:pStyle w:val="FirstParagraph"/>
      </w:pPr>
      <w:r>
        <w:t xml:space="preserve">Tidak wajib secara hukum. Minimum offtake (komitmen volume minimum yang tetap dibayar) adalah klausul komersial yang dinegosiasikan, bukan ketentuan baku kontrak payung. Penyedia memintanya untuk menjamin keekonomian infrastruktur, tetapi klausul yang terlalu agresif membebani pembeli, jadi sepadankan dengan kepastian permintaan.</w:t>
      </w:r>
    </w:p>
    <w:bookmarkEnd w:id="31"/>
    <w:bookmarkStart w:id="32" w:name="Xf33122c34fe266d959215b7727f5b7e1c9d18a5"/>
    <w:p>
      <w:pPr>
        <w:pStyle w:val="Heading3"/>
      </w:pPr>
      <w:r>
        <w:t xml:space="preserve">Siapa yang bertanggung jawab atas PRS, penyedia atau pembeli?</w:t>
      </w:r>
    </w:p>
    <w:p>
      <w:pPr>
        <w:pStyle w:val="FirstParagraph"/>
      </w:pPr>
      <w:r>
        <w:t xml:space="preserve">Tidak ada aturan baku universal. Dalam praktiknya, tanggung jawab atas Pressure Reduction Station (PRS), mulai pengadaan, perawatan, hingga risiko gangguan, biasanya diatur dalam SLA atau kontrak dan bervariasi per kesepakatan. Karena itu, pastikan pembagiannya ditulis eksplisit dalam dokumen tender sejak awal.</w:t>
      </w:r>
    </w:p>
    <w:bookmarkEnd w:id="32"/>
    <w:bookmarkEnd w:id="33"/>
    <w:bookmarkStart w:id="34" w:name="kesimpulan"/>
    <w:p>
      <w:pPr>
        <w:pStyle w:val="Heading2"/>
      </w:pPr>
      <w:r>
        <w:t xml:space="preserve">Kesimpulan</w:t>
      </w:r>
    </w:p>
    <w:p>
      <w:pPr>
        <w:pStyle w:val="FirstParagraph"/>
      </w:pPr>
      <w:r>
        <w:t xml:space="preserve">Dengan 53 perusahaan CNG di Indonesia yang kini memegang izin niaga, tender yang baik tidak dimulai dari mencari nama penyedia, melainkan dari dokumen yang dirancang: KAK yang berangkat dari profil konsumsi Anda, matriks yang menimbang keandalan sebelum harga, dan legalitas sebagai syarat gugur. Justru butir-butir itu, yakni izin niaga, ISO 9001/45001, SLA, dan telemetri, yang membedakan penyedia yang terlihat lengkap dari yang benar-benar terukur. Sebagai anak usaha PGN yang merupakan bagian dari Subholding Gas Pertamina, PGN Gagas menyalurkan gas bumi ke pelanggan industri dan komersial di luar jangkauan pipa lewat solusi CNG, dan siap membantu menilai kesiapan spesifikasi Anda.</w:t>
      </w:r>
    </w:p>
    <w:p>
      <w:pPr>
        <w:pStyle w:val="BodyText"/>
      </w:pPr>
      <w:r>
        <w:t xml:space="preserve">Untuk mendiskusikan penyusunan spesifikasi dan penilaian penyedia pasokan CNG di perusahaan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18" Target="https://jdih.lkpp.go.id/regulation/peraturan-presiden/peraturan-presiden-nomor-12-tahun-2021" TargetMode="External" /><Relationship Type="http://schemas.openxmlformats.org/officeDocument/2006/relationships/hyperlink" Id="rId24" Target="https://migas.esdm.go.id/post/menteri-jonan-tetapkan-permen-esdm-tentang-pengusahaan-gas-bumi-pada-kegiatan-usaha-hilir-minyak-dan-gas-bumi" TargetMode="External" /><Relationship Type="http://schemas.openxmlformats.org/officeDocument/2006/relationships/hyperlink" Id="rId25" Target="https://www.bphmigas.go.id/bph-migas-serahkan-sertifikat-hak-khusus-pengangkutan-gas-bumi-kepada-7-badan-usah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18" Target="https://jdih.lkpp.go.id/regulation/peraturan-presiden/peraturan-presiden-nomor-12-tahun-2021" TargetMode="External" /><Relationship Type="http://schemas.openxmlformats.org/officeDocument/2006/relationships/hyperlink" Id="rId24" Target="https://migas.esdm.go.id/post/menteri-jonan-tetapkan-permen-esdm-tentang-pengusahaan-gas-bumi-pada-kegiatan-usaha-hilir-minyak-dan-gas-bumi" TargetMode="External" /><Relationship Type="http://schemas.openxmlformats.org/officeDocument/2006/relationships/hyperlink" Id="rId25" Target="https://www.bphmigas.go.id/bph-migas-serahkan-sertifikat-hak-khusus-pengangkutan-gas-bumi-kepada-7-badan-usa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2026-09-21T04:11:40Z</dcterms:created>
  <dcterms:modified xsi:type="dcterms:W3CDTF">2026-09-21T04:11:40Z</dcterms:modified>
</cp:coreProperties>
</file>

<file path=docProps/custom.xml><?xml version="1.0" encoding="utf-8"?>
<Properties xmlns="http://schemas.openxmlformats.org/officeDocument/2006/custom-properties" xmlns:vt="http://schemas.openxmlformats.org/officeDocument/2006/docPropsVTypes"/>
</file>