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"Kelola Kinerja Perusahaan CNG Indonesia: Perpanjang atau Tender Ulang?"</w:t>
      </w:r>
      <w:r>
        <w:br/>
      </w:r>
      <w:r>
        <w:rPr>
          <w:rStyle w:val="FunctionTok"/>
        </w:rPr>
        <w:t xml:space="preserve">meta_title</w:t>
      </w:r>
      <w:r>
        <w:rPr>
          <w:rStyle w:val="KeywordTok"/>
        </w:rPr>
        <w:t xml:space="preserve">:</w:t>
      </w:r>
      <w:r>
        <w:rPr>
          <w:rStyle w:val="AttributeTok"/>
        </w:rPr>
        <w:t xml:space="preserve"> </w:t>
      </w:r>
      <w:r>
        <w:rPr>
          <w:rStyle w:val="StringTok"/>
        </w:rPr>
        <w:t xml:space="preserve">"Perusahaan CNG Indonesia: Perpanjang atau Tender Ulang?"</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menilai kinerja perusahaan CNG Indonesia dengan KPI scorecard dan QBR, menghitung switching cost, lalu memutuskan perpanjang atau tender ulang."</w:t>
      </w:r>
      <w:r>
        <w:br/>
      </w:r>
      <w:r>
        <w:rPr>
          <w:rStyle w:val="FunctionTok"/>
        </w:rPr>
        <w:t xml:space="preserve">slug</w:t>
      </w:r>
      <w:r>
        <w:rPr>
          <w:rStyle w:val="KeywordTok"/>
        </w:rPr>
        <w:t xml:space="preserve">:</w:t>
      </w:r>
      <w:r>
        <w:rPr>
          <w:rStyle w:val="AttributeTok"/>
        </w:rPr>
        <w:t xml:space="preserve"> </w:t>
      </w:r>
      <w:r>
        <w:rPr>
          <w:rStyle w:val="StringTok"/>
        </w:rPr>
        <w:t xml:space="preserve">"perusahaan-cng-indonesia-perpanjang-atau-tender-ulang"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"evaluasi kinerja penyedia gas"</w:t>
      </w:r>
      <w:r>
        <w:rPr>
          <w:rStyle w:val="KeywordTok"/>
        </w:rPr>
        <w:t xml:space="preserve">,</w:t>
      </w:r>
      <w:r>
        <w:rPr>
          <w:rStyle w:val="AttributeTok"/>
        </w:rPr>
        <w:t xml:space="preserve"> </w:t>
      </w:r>
      <w:r>
        <w:rPr>
          <w:rStyle w:val="StringTok"/>
        </w:rPr>
        <w:t xml:space="preserve">"KPI penyedia CNG"</w:t>
      </w:r>
      <w:r>
        <w:rPr>
          <w:rStyle w:val="KeywordTok"/>
        </w:rPr>
        <w:t xml:space="preserve">,</w:t>
      </w:r>
      <w:r>
        <w:rPr>
          <w:rStyle w:val="AttributeTok"/>
        </w:rPr>
        <w:t xml:space="preserve"> </w:t>
      </w:r>
      <w:r>
        <w:rPr>
          <w:rStyle w:val="StringTok"/>
        </w:rPr>
        <w:t xml:space="preserve">"SLA compliance"</w:t>
      </w:r>
      <w:r>
        <w:rPr>
          <w:rStyle w:val="KeywordTok"/>
        </w:rPr>
        <w:t xml:space="preserve">,</w:t>
      </w:r>
      <w:r>
        <w:rPr>
          <w:rStyle w:val="AttributeTok"/>
        </w:rPr>
        <w:t xml:space="preserve"> </w:t>
      </w:r>
      <w:r>
        <w:rPr>
          <w:rStyle w:val="StringTok"/>
        </w:rPr>
        <w:t xml:space="preserve">"QBR vendor"</w:t>
      </w:r>
      <w:r>
        <w:rPr>
          <w:rStyle w:val="KeywordTok"/>
        </w:rPr>
        <w:t xml:space="preserve">,</w:t>
      </w:r>
      <w:r>
        <w:rPr>
          <w:rStyle w:val="AttributeTok"/>
        </w:rPr>
        <w:t xml:space="preserve"> </w:t>
      </w:r>
      <w:r>
        <w:rPr>
          <w:rStyle w:val="StringTok"/>
        </w:rPr>
        <w:t xml:space="preserve">"scorecard vendor"</w:t>
      </w:r>
      <w:r>
        <w:rPr>
          <w:rStyle w:val="KeywordTok"/>
        </w:rPr>
        <w:t xml:space="preserve">,</w:t>
      </w:r>
      <w:r>
        <w:rPr>
          <w:rStyle w:val="AttributeTok"/>
        </w:rPr>
        <w:t xml:space="preserve"> </w:t>
      </w:r>
      <w:r>
        <w:rPr>
          <w:rStyle w:val="StringTok"/>
        </w:rPr>
        <w:t xml:space="preserve">"switching cost"</w:t>
      </w:r>
      <w:r>
        <w:rPr>
          <w:rStyle w:val="KeywordTok"/>
        </w:rPr>
        <w:t xml:space="preserve">,</w:t>
      </w:r>
      <w:r>
        <w:rPr>
          <w:rStyle w:val="AttributeTok"/>
        </w:rPr>
        <w:t xml:space="preserve"> </w:t>
      </w:r>
      <w:r>
        <w:rPr>
          <w:rStyle w:val="StringTok"/>
        </w:rPr>
        <w:t xml:space="preserve">"klausul exit kontrak pasokan"</w:t>
      </w:r>
      <w:r>
        <w:rPr>
          <w:rStyle w:val="KeywordTok"/>
        </w:rPr>
        <w:t xml:space="preserve">,</w:t>
      </w:r>
      <w:r>
        <w:rPr>
          <w:rStyle w:val="AttributeTok"/>
        </w:rPr>
        <w:t xml:space="preserve"> </w:t>
      </w:r>
      <w:r>
        <w:rPr>
          <w:rStyle w:val="StringTok"/>
        </w:rPr>
        <w:t xml:space="preserve">"benchmark harga gas HGBT"</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"layanan Gaslink untuk industri &amp;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"opsi pasokan LNG"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"https://www.esdm.go.id/id/media-center/arsip-berita/skema-baru-hgbt-perkuat-daya-saing-industri-dan-efisiensi-anggaran-negara"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"HGBT USD 6,5-7/MMBTU untuk 7 sektor industri / 253 pengguna terdaftar, Kepmen ESDM No. 76.K/2025"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"https://www.esdm.go.id/id/media-center/arsip-berita/selamatkan-industri-menteri-esdm-turunkan-harga-lng-industri"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"Penurunan harga LNG non-HGBT Jabar/Banten/DKI Jakarta dari USD 20,57 menjadi USD 13/MMBTU (29 Juni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"https://www.researchgate.net/publication/373380469"</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"Kerangka kriteria pemilihan pemasok Dickson (1966): kualitas, pengiriman, harga, layanan"</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"2026-09-21"</w:t>
      </w:r>
      <w:r>
        <w:br/>
      </w:r>
      <w:r>
        <w:rPr>
          <w:rStyle w:val="FunctionTok"/>
        </w:rPr>
        <w:t xml:space="preserve">word_count</w:t>
      </w:r>
      <w:r>
        <w:rPr>
          <w:rStyle w:val="KeywordTok"/>
        </w:rPr>
        <w:t xml:space="preserve">:</w:t>
      </w:r>
      <w:r>
        <w:rPr>
          <w:rStyle w:val="AttributeTok"/>
        </w:rPr>
        <w:t xml:space="preserve"> </w:t>
      </w:r>
      <w:r>
        <w:rPr>
          <w:rStyle w:val="DecValTok"/>
        </w:rPr>
        <w:t xml:space="preserve">1537</w:t>
      </w:r>
    </w:p>
    <w:p>
      <w:r>
        <w:pict>
          <v:rect style="width:0;height:1.5pt" o:hralign="center" o:hrstd="t" o:hr="t"/>
        </w:pict>
      </w:r>
    </w:p>
    <w:bookmarkEnd w:id="16"/>
    <w:bookmarkStart w:id="35" w:name="X0539299974ac92662d43a961f05f57e236aa223"/>
    <w:p>
      <w:pPr>
        <w:pStyle w:val="Heading1"/>
      </w:pPr>
      <w:r>
        <w:t xml:space="preserve">Kelola Kinerja Perusahaan CNG Indonesia: Perpanjang atau Tender Ulang?</w:t>
      </w:r>
    </w:p>
    <w:p>
      <w:pPr>
        <w:pStyle w:val="FirstParagraph"/>
      </w:pPr>
      <w:r>
        <w:t xml:space="preserve">Setahun setelah kontrak berjalan, gas mengalir dan tagihan dibayar, sampai satu email masuk: kontrak berakhir tiga bulan lagi, perpanjang atau tidak? Di titik itu banyak tim procurement baru sadar mereka tak punya data untuk menjawab. Perhatian habis saat memilih dan memasang; masa operasi dibiarkan tanpa tata kelola. Artikel ini membahas cara mengukur kinerja perusahaan CNG Indonesia dengan KPI dan tinjauan berkala, lalu memutuskan perpanjang, negosiasi ulang, atau tender ulang, termasuk menghitung switching cost. Untuk konteks lanskap</w:t>
      </w:r>
      <w:r>
        <w:t xml:space="preserve"> </w:t>
      </w:r>
      <w:hyperlink r:id="rId17">
        <w:r>
          <w:rPr>
            <w:rStyle w:val="Hyperlink"/>
          </w:rPr>
          <w:t xml:space="preserve">penyedia CNG di Indonesia</w:t>
        </w:r>
      </w:hyperlink>
      <w:r>
        <w:t xml:space="preserve">, kerangka berikut bisa jadi titik mulai.</w:t>
      </w:r>
    </w:p>
    <w:p>
      <w:pPr>
        <w:pStyle w:val="BlockText"/>
      </w:pPr>
      <w:r>
        <w:rPr>
          <w:b/>
          <w:bCs/>
        </w:rPr>
        <w:t xml:space="preserve">Ringkas:</w:t>
      </w:r>
      <w:r>
        <w:t xml:space="preserve"> </w:t>
      </w:r>
      <w:r>
        <w:t xml:space="preserve">Manajemen kinerja penyedia CNG adalah proses terstruktur memantau, mengukur, dan meninjau kinerja pemasok gas terkompresi (</w:t>
      </w:r>
      <w:r>
        <w:rPr>
          <w:i/>
          <w:iCs/>
        </w:rPr>
        <w:t xml:space="preserve">Compressed Natural Gas</w:t>
      </w:r>
      <w:r>
        <w:t xml:space="preserve">) sepanjang masa kontrak, mencakup keandalan pasokan, ketepatan pengiriman, akurasi tagihan berbasis telemetri, dan kepatuhan</w:t>
      </w:r>
      <w:r>
        <w:t xml:space="preserve"> </w:t>
      </w:r>
      <w:r>
        <w:rPr>
          <w:i/>
          <w:iCs/>
        </w:rPr>
        <w:t xml:space="preserve">service level agreement</w:t>
      </w:r>
      <w:r>
        <w:t xml:space="preserve"> </w:t>
      </w:r>
      <w:r>
        <w:t xml:space="preserve">(SLA), sebagai dasar objektif untuk memutuskan memperpanjang, menegosiasi ulang, atau mengganti penyedia lewat tender ulang.</w:t>
      </w:r>
    </w:p>
    <w:bookmarkStart w:id="18" w:name="X778caae8a988feb4f119f7b7ce00b3bef749b8c"/>
    <w:p>
      <w:pPr>
        <w:pStyle w:val="Heading2"/>
      </w:pPr>
      <w:r>
        <w:t xml:space="preserve">Kenapa Kinerja Perusahaan CNG Harus Dikelola, Bukan Dibiarkan?</w:t>
      </w:r>
    </w:p>
    <w:p>
      <w:pPr>
        <w:pStyle w:val="FirstParagraph"/>
      </w:pPr>
      <w:r>
        <w:t xml:space="preserve">Kinerja penyedia gas perlu dikelola karena masa operasi, bukan masa pemilihan, adalah tempat nilai atau kerugian sesungguhnya terbentuk: keandalan pasokan, ketepatan pengiriman, akurasi tagihan, dan respons insiden. Tata kelola rutin (mengukur kinerja terjadwal) berbeda dari penanganan insiden (bereaksi saat gangguan), dan keduanya butuh satu pemilik hubungan yang jelas di sisi pembeli.</w:t>
      </w:r>
    </w:p>
    <w:p>
      <w:pPr>
        <w:pStyle w:val="BodyText"/>
      </w:pPr>
      <w:r>
        <w:t xml:space="preserve">Dalam procurement, ini disebut</w:t>
      </w:r>
      <w:r>
        <w:t xml:space="preserve"> </w:t>
      </w:r>
      <w:r>
        <w:rPr>
          <w:i/>
          <w:iCs/>
        </w:rPr>
        <w:t xml:space="preserve">vendor performance management</w:t>
      </w:r>
      <w:r>
        <w:t xml:space="preserve">: praktik umum lintas industri, bukan kewajiban regulasi gas di Indonesia. Untuk pasokan kritikal seperti gas bumi taruhannya tinggi, karena satu jam pasokan terhenti bisa menghentikan lini produksi atau dapur hotel. Masalahnya, tanpa satu</w:t>
      </w:r>
      <w:r>
        <w:t xml:space="preserve"> </w:t>
      </w:r>
      <w:r>
        <w:rPr>
          <w:i/>
          <w:iCs/>
        </w:rPr>
        <w:t xml:space="preserve">relationship owner</w:t>
      </w:r>
      <w:r>
        <w:t xml:space="preserve"> </w:t>
      </w:r>
      <w:r>
        <w:t xml:space="preserve">yang ditunjuk, tak ada yang mengumpulkan data kinerja secara konsisten, dan keputusan renewal pun diambil dari ingatan, bukan tren. Kerangka di bawah membalik urutan itu: ukur dulu, baru putuskan.</w:t>
      </w:r>
    </w:p>
    <w:bookmarkEnd w:id="18"/>
    <w:bookmarkStart w:id="20" w:name="Xc43fe01b549e44aaef99bb5ec0ed8caba7f1e75"/>
    <w:p>
      <w:pPr>
        <w:pStyle w:val="Heading2"/>
      </w:pPr>
      <w:r>
        <w:t xml:space="preserve">KPI yang Benar-Benar Penting untuk Penyedia CNG</w:t>
      </w:r>
    </w:p>
    <w:p>
      <w:pPr>
        <w:pStyle w:val="FirstParagraph"/>
      </w:pPr>
      <w:r>
        <w:t xml:space="preserve">KPI inti untuk penyedia CNG mencakup uptime atau keandalan pasokan, ketepatan jadwal pengiriman via</w:t>
      </w:r>
      <w:r>
        <w:t xml:space="preserve"> </w:t>
      </w:r>
      <w:r>
        <w:rPr>
          <w:i/>
          <w:iCs/>
        </w:rPr>
        <w:t xml:space="preserve">Gas Transportation Module</w:t>
      </w:r>
      <w:r>
        <w:t xml:space="preserve"> </w:t>
      </w:r>
      <w:r>
        <w:t xml:space="preserve">(GTM), waktu respons dan pemulihan saat tekanan turun, akurasi telemetri sebagai dasar tagihan, kepatuhan SLA, dan tingkat insiden keselamatan kerja (K3). Bobot tiap KPI sebaiknya disepakati bersama sejak awal kontrak, karena tidak ada satu standar universal.</w:t>
      </w:r>
    </w:p>
    <w:p>
      <w:pPr>
        <w:pStyle w:val="BodyText"/>
      </w:pPr>
      <w:r>
        <w:t xml:space="preserve">Kerangka klasik pemilihan pemasok dari studi Dickson (1966), yakni kualitas, pengiriman, harga, dan layanan, tetap jadi titik tolak yang baik; tinggal diterjemahkan ke bahasa pasokan CNG. Bedanya, pasokan gas punya titik teknis. Akurasi tagihan, misalnya, bergantung pada telemetri yang membaca pemakaian di</w:t>
      </w:r>
      <w:r>
        <w:t xml:space="preserve"> </w:t>
      </w:r>
      <w:r>
        <w:rPr>
          <w:i/>
          <w:iCs/>
        </w:rPr>
        <w:t xml:space="preserve">Pressure Reduction System</w:t>
      </w:r>
      <w:r>
        <w:t xml:space="preserve"> </w:t>
      </w:r>
      <w:r>
        <w:t xml:space="preserve">(PRS), perangkat yang menurunkan tekanan CNG (hingga sekitar 250 bar) ke tekanan siap pakai. Penyedia dengan telemetri real-time seperti PGN Gagas, termasuk via</w:t>
      </w:r>
      <w:r>
        <w:t xml:space="preserve"> </w:t>
      </w:r>
      <w:hyperlink r:id="rId19">
        <w:r>
          <w:rPr>
            <w:rStyle w:val="Hyperlink"/>
          </w:rPr>
          <w:t xml:space="preserve">layanan Gaslink untuk industri &amp; komersial</w:t>
        </w:r>
      </w:hyperlink>
      <w:r>
        <w:t xml:space="preserve">, memudahkan penyusunan scorecard berbasis data, bukan klaim.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Kategori KPI</w:t>
            </w:r>
          </w:p>
        </w:tc>
        <w:tc>
          <w:tcPr/>
          <w:p>
            <w:pPr>
              <w:pStyle w:val="Compact"/>
            </w:pPr>
            <w:r>
              <w:t xml:space="preserve">Metrik</w:t>
            </w:r>
          </w:p>
        </w:tc>
        <w:tc>
          <w:tcPr/>
          <w:p>
            <w:pPr>
              <w:pStyle w:val="Compact"/>
            </w:pPr>
            <w:r>
              <w:t xml:space="preserve">Contoh target ilustratif</w:t>
            </w:r>
          </w:p>
        </w:tc>
      </w:tr>
      <w:tr>
        <w:tc>
          <w:tcPr/>
          <w:p>
            <w:pPr>
              <w:pStyle w:val="Compact"/>
            </w:pPr>
            <w:r>
              <w:t xml:space="preserve">Keandalan pasokan</w:t>
            </w:r>
          </w:p>
        </w:tc>
        <w:tc>
          <w:tcPr/>
          <w:p>
            <w:pPr>
              <w:pStyle w:val="Compact"/>
            </w:pPr>
            <w:r>
              <w:t xml:space="preserve">Uptime pasokan gas</w:t>
            </w:r>
          </w:p>
        </w:tc>
        <w:tc>
          <w:tcPr/>
          <w:p>
            <w:pPr>
              <w:pStyle w:val="Compact"/>
            </w:pPr>
            <w:r>
              <w:t xml:space="preserve">Sesuai ambang yang disepakati kontrak</w:t>
            </w:r>
          </w:p>
        </w:tc>
      </w:tr>
      <w:tr>
        <w:tc>
          <w:tcPr/>
          <w:p>
            <w:pPr>
              <w:pStyle w:val="Compact"/>
            </w:pPr>
            <w:r>
              <w:t xml:space="preserve">Ketepatan pengiriman</w:t>
            </w:r>
          </w:p>
        </w:tc>
        <w:tc>
          <w:tcPr/>
          <w:p>
            <w:pPr>
              <w:pStyle w:val="Compact"/>
            </w:pPr>
            <w:r>
              <w:t xml:space="preserve">On-time delivery pengisian GTM</w:t>
            </w:r>
          </w:p>
        </w:tc>
        <w:tc>
          <w:tcPr/>
          <w:p>
            <w:pPr>
              <w:pStyle w:val="Compact"/>
            </w:pPr>
            <w:r>
              <w:t xml:space="preserve">Sesuai kesepakatan SLA</w:t>
            </w:r>
          </w:p>
        </w:tc>
      </w:tr>
      <w:tr>
        <w:tc>
          <w:tcPr/>
          <w:p>
            <w:pPr>
              <w:pStyle w:val="Compact"/>
            </w:pPr>
            <w:r>
              <w:t xml:space="preserve">Responsivitas insiden</w:t>
            </w:r>
          </w:p>
        </w:tc>
        <w:tc>
          <w:tcPr/>
          <w:p>
            <w:pPr>
              <w:pStyle w:val="Compact"/>
            </w:pPr>
            <w:r>
              <w:t xml:space="preserve">Waktu respons &amp; pemulihan saat tekanan turun</w:t>
            </w:r>
          </w:p>
        </w:tc>
        <w:tc>
          <w:tcPr/>
          <w:p>
            <w:pPr>
              <w:pStyle w:val="Compact"/>
            </w:pPr>
            <w:r>
              <w:t xml:space="preserve">Sesuai kesepakatan SLA</w:t>
            </w:r>
          </w:p>
        </w:tc>
      </w:tr>
      <w:tr>
        <w:tc>
          <w:tcPr/>
          <w:p>
            <w:pPr>
              <w:pStyle w:val="Compact"/>
            </w:pPr>
            <w:r>
              <w:t xml:space="preserve">Akurasi tagihan</w:t>
            </w:r>
          </w:p>
        </w:tc>
        <w:tc>
          <w:tcPr/>
          <w:p>
            <w:pPr>
              <w:pStyle w:val="Compact"/>
            </w:pPr>
            <w:r>
              <w:t xml:space="preserve">Deviasi telemetri vs tagihan</w:t>
            </w:r>
          </w:p>
        </w:tc>
        <w:tc>
          <w:tcPr/>
          <w:p>
            <w:pPr>
              <w:pStyle w:val="Compact"/>
            </w:pPr>
            <w:r>
              <w:t xml:space="preserve">Mendekati nol deviasi material</w:t>
            </w:r>
          </w:p>
        </w:tc>
      </w:tr>
      <w:tr>
        <w:tc>
          <w:tcPr/>
          <w:p>
            <w:pPr>
              <w:pStyle w:val="Compact"/>
            </w:pPr>
            <w:r>
              <w:t xml:space="preserve">Kepatuhan SLA</w:t>
            </w:r>
          </w:p>
        </w:tc>
        <w:tc>
          <w:tcPr/>
          <w:p>
            <w:pPr>
              <w:pStyle w:val="Compact"/>
            </w:pPr>
            <w:r>
              <w:t xml:space="preserve">SLA compliance rate</w:t>
            </w:r>
          </w:p>
        </w:tc>
        <w:tc>
          <w:tcPr/>
          <w:p>
            <w:pPr>
              <w:pStyle w:val="Compact"/>
            </w:pPr>
            <w:r>
              <w:t xml:space="preserve">&gt;95% sering dianggap</w:t>
            </w:r>
            <w:r>
              <w:t xml:space="preserve"> </w:t>
            </w:r>
            <w:r>
              <w:t xml:space="preserve">“baik”</w:t>
            </w:r>
            <w:r>
              <w:t xml:space="preserve"> </w:t>
            </w:r>
            <w:r>
              <w:t xml:space="preserve">lintas industri (ilustratif)</w:t>
            </w:r>
          </w:p>
        </w:tc>
      </w:tr>
      <w:tr>
        <w:tc>
          <w:tcPr/>
          <w:p>
            <w:pPr>
              <w:pStyle w:val="Compact"/>
            </w:pPr>
            <w:r>
              <w:t xml:space="preserve">K3 / HSE</w:t>
            </w:r>
          </w:p>
        </w:tc>
        <w:tc>
          <w:tcPr/>
          <w:p>
            <w:pPr>
              <w:pStyle w:val="Compact"/>
            </w:pPr>
            <w:r>
              <w:t xml:space="preserve">Tingkat insiden keselamatan</w:t>
            </w:r>
          </w:p>
        </w:tc>
        <w:tc>
          <w:tcPr/>
          <w:p>
            <w:pPr>
              <w:pStyle w:val="Compact"/>
            </w:pPr>
            <w:r>
              <w:t xml:space="preserve">Tren menurun</w:t>
            </w:r>
          </w:p>
        </w:tc>
      </w:tr>
    </w:tbl>
    <w:p>
      <w:pPr>
        <w:pStyle w:val="BodyText"/>
      </w:pPr>
      <w:r>
        <w:rPr>
          <w:i/>
          <w:iCs/>
        </w:rPr>
        <w:t xml:space="preserve">Contoh ilustratif; bobot dan target disepakati per kontrak, bukan angka resmi salah satu penyedia.</w:t>
      </w:r>
    </w:p>
    <w:p>
      <w:pPr>
        <w:pStyle w:val="BodyText"/>
      </w:pPr>
      <w:r>
        <w:rPr>
          <w:i/>
          <w:iCs/>
        </w:rPr>
        <w:t xml:space="preserve">[Image 01: Infografik dashboard scorecard dengan enam kartu KPI (keandalan pasokan, ketepatan pengiriman GTM, responsivitas insiden, akurasi tagihan, kepatuhan SLA, K3), tiap kartu berindikator traffic-light hijau-kuning-merah, label Bahasa Indonesia, sudut bertanda</w:t>
      </w:r>
      <w:r>
        <w:rPr>
          <w:i/>
          <w:iCs/>
        </w:rPr>
        <w:t xml:space="preserve"> </w:t>
      </w:r>
      <w:r>
        <w:rPr>
          <w:i/>
          <w:iCs/>
        </w:rPr>
        <w:t xml:space="preserve">“Contoh ilustratif”</w:t>
      </w:r>
      <w:r>
        <w:rPr>
          <w:i/>
          <w:iCs/>
        </w:rPr>
        <w:t xml:space="preserve">; gaya korporat biru-putih. alt: scorecard KPI penyedia CNG dengan indikator hijau-kuning-merah.]</w:t>
      </w:r>
    </w:p>
    <w:bookmarkEnd w:id="20"/>
    <w:bookmarkStart w:id="21" w:name="X3657f6d1801aa820920cfb4712e48684f1e11ef"/>
    <w:p>
      <w:pPr>
        <w:pStyle w:val="Heading2"/>
      </w:pPr>
      <w:r>
        <w:t xml:space="preserve">Tinjauan Berkala (QBR): Ritme yang Menjaga Hubungan Sehat</w:t>
      </w:r>
    </w:p>
    <w:p>
      <w:pPr>
        <w:pStyle w:val="FirstParagraph"/>
      </w:pPr>
      <w:r>
        <w:t xml:space="preserve">QBR (</w:t>
      </w:r>
      <w:r>
        <w:rPr>
          <w:i/>
          <w:iCs/>
        </w:rPr>
        <w:t xml:space="preserve">Quarterly Business Review</w:t>
      </w:r>
      <w:r>
        <w:t xml:space="preserve">) adalah forum tinjauan strategis periodik, umumnya triwulanan, tempat pembeli dan penyedia membahas tren kinerja, menyelaraskan ekspektasi, dan menyepakati rencana perbaikan. Ini praktik manajemen vendor lintas industri, bukan kewajiban regulasi migas. Bedanya dari rapat operasional harian: QBR membahas arah dan tren, bukan memadamkan insiden yang sedang berlangsung.</w:t>
      </w:r>
    </w:p>
    <w:p>
      <w:pPr>
        <w:pStyle w:val="BodyText"/>
      </w:pPr>
      <w:r>
        <w:t xml:space="preserve">Ritme yang lazim: tinjauan operasional bulanan, QBR strategis triwulanan, dan audit SLA menyeluruh setahun sekali, terutama menjelang perpanjangan. Ini praktik umum manajemen kontrak, bukan angka wajib sektor gas. Agenda QBR yang produktif biasanya mencakup:</w:t>
      </w:r>
    </w:p>
    <w:p>
      <w:pPr>
        <w:pStyle w:val="Compact"/>
        <w:numPr>
          <w:ilvl w:val="0"/>
          <w:numId w:val="1001"/>
        </w:numPr>
      </w:pPr>
      <w:r>
        <w:rPr>
          <w:b/>
          <w:bCs/>
        </w:rPr>
        <w:t xml:space="preserve">Skor KPI kuartal berjalan</w:t>
      </w:r>
      <w:r>
        <w:t xml:space="preserve"> </w:t>
      </w:r>
      <w:r>
        <w:t xml:space="preserve">dibandingkan kuartal sebelumnya, untuk melihat tren.</w:t>
      </w:r>
    </w:p>
    <w:p>
      <w:pPr>
        <w:pStyle w:val="Compact"/>
        <w:numPr>
          <w:ilvl w:val="0"/>
          <w:numId w:val="1001"/>
        </w:numPr>
      </w:pPr>
      <w:r>
        <w:rPr>
          <w:b/>
          <w:bCs/>
        </w:rPr>
        <w:t xml:space="preserve">Akar masalah</w:t>
      </w:r>
      <w:r>
        <w:t xml:space="preserve"> </w:t>
      </w:r>
      <w:r>
        <w:t xml:space="preserve">setiap pelanggaran SLA atau insiden K3, bila ada.</w:t>
      </w:r>
    </w:p>
    <w:p>
      <w:pPr>
        <w:pStyle w:val="Compact"/>
        <w:numPr>
          <w:ilvl w:val="0"/>
          <w:numId w:val="1001"/>
        </w:numPr>
      </w:pPr>
      <w:r>
        <w:rPr>
          <w:b/>
          <w:bCs/>
        </w:rPr>
        <w:t xml:space="preserve">Rencana perbaikan bersama</w:t>
      </w:r>
      <w:r>
        <w:t xml:space="preserve"> </w:t>
      </w:r>
      <w:r>
        <w:t xml:space="preserve">(</w:t>
      </w:r>
      <w:r>
        <w:rPr>
          <w:i/>
          <w:iCs/>
        </w:rPr>
        <w:t xml:space="preserve">continuous improvement</w:t>
      </w:r>
      <w:r>
        <w:t xml:space="preserve">) dengan penanggung jawab dan tenggat.</w:t>
      </w:r>
    </w:p>
    <w:p>
      <w:pPr>
        <w:pStyle w:val="Compact"/>
        <w:numPr>
          <w:ilvl w:val="0"/>
          <w:numId w:val="1001"/>
        </w:numPr>
      </w:pPr>
      <w:r>
        <w:rPr>
          <w:b/>
          <w:bCs/>
        </w:rPr>
        <w:t xml:space="preserve">Proyeksi pasokan</w:t>
      </w:r>
      <w:r>
        <w:t xml:space="preserve"> </w:t>
      </w:r>
      <w:r>
        <w:t xml:space="preserve">kuartal berikutnya: perkiraan volume dan jadwal pengisian.</w:t>
      </w:r>
    </w:p>
    <w:p>
      <w:pPr>
        <w:pStyle w:val="FirstParagraph"/>
      </w:pPr>
      <w:r>
        <w:t xml:space="preserve">Output QBR yang baik berupa</w:t>
      </w:r>
      <w:r>
        <w:t xml:space="preserve"> </w:t>
      </w:r>
      <w:r>
        <w:rPr>
          <w:i/>
          <w:iCs/>
        </w:rPr>
        <w:t xml:space="preserve">action item</w:t>
      </w:r>
      <w:r>
        <w:t xml:space="preserve"> </w:t>
      </w:r>
      <w:r>
        <w:t xml:space="preserve">terdokumentasi dengan penanggung jawab jelas. Kumpulan dokumentasi inilah yang jadi bekal objektif saat renewal, bukan kesan sesaat.</w:t>
      </w:r>
    </w:p>
    <w:bookmarkEnd w:id="21"/>
    <w:bookmarkStart w:id="25" w:name="X3600d2d63c4a25513516bf530f0189f66b8699f"/>
    <w:p>
      <w:pPr>
        <w:pStyle w:val="Heading2"/>
      </w:pPr>
      <w:r>
        <w:t xml:space="preserve">Kapan Perpanjang, Kapan Negosiasi Ulang, Kapan Tender Ulang?</w:t>
      </w:r>
    </w:p>
    <w:p>
      <w:pPr>
        <w:pStyle w:val="FirstParagraph"/>
      </w:pPr>
      <w:r>
        <w:t xml:space="preserve">Perpanjang bila skor kinerja konsisten baik dan harga masih sejalan dengan benchmark segmen Anda. Negosiasi ulang bila kinerja cukup baik tetapi harga di atas benchmark. Tender ulang bila pelanggaran SLA berulang atau insiden K3 kronis tak membaik meski sudah melewati rencana perbaikan. Keputusan idealnya berbasis tren data historis, bukan tenggat kontrak yang mepet.</w:t>
      </w:r>
    </w:p>
    <w:p>
      <w:pPr>
        <w:pStyle w:val="BodyText"/>
      </w:pPr>
      <w:r>
        <w:t xml:space="preserve">Menilai</w:t>
      </w:r>
      <w:r>
        <w:t xml:space="preserve"> </w:t>
      </w:r>
      <w:r>
        <w:t xml:space="preserve">“harga masih kompetitif”</w:t>
      </w:r>
      <w:r>
        <w:t xml:space="preserve"> </w:t>
      </w:r>
      <w:r>
        <w:t xml:space="preserve">butuh titik acuan. Untuk sebagian sektor industri, acuannya adalah</w:t>
      </w:r>
      <w:r>
        <w:t xml:space="preserve"> </w:t>
      </w:r>
      <w:hyperlink r:id="rId22">
        <w:r>
          <w:rPr>
            <w:rStyle w:val="Hyperlink"/>
          </w:rPr>
          <w:t xml:space="preserve">Harga Gas Bumi Tertentu (HGBT)</w:t>
        </w:r>
      </w:hyperlink>
      <w:r>
        <w:t xml:space="preserve">: USD 7/MMBTU untuk bahan bakar dan USD 6,5/MMBTU untuk bahan baku (Kepmen ESDM No. 76.K/2025). Yang sering disalahpahami: HGBT hanya berlaku untuk tujuh sektor industri tertentu dan 253 pengguna terdaftar (pupuk, petrokimia, baja, keramik). Pembeli HORECA atau F&amp;B tidak otomatis mendapatnya; benchmark mereka adalah harga komersial non-HGBT yang berbeda dan bisa lebih tinggi.</w:t>
      </w:r>
    </w:p>
    <w:p>
      <w:pPr>
        <w:pStyle w:val="BodyText"/>
      </w:pPr>
      <w:r>
        <w:t xml:space="preserve">Harga acuan resmi juga bergerak. Pada 29 Juni 2026, Kementerian ESDM</w:t>
      </w:r>
      <w:r>
        <w:t xml:space="preserve"> </w:t>
      </w:r>
      <w:hyperlink r:id="rId23">
        <w:r>
          <w:rPr>
            <w:rStyle w:val="Hyperlink"/>
          </w:rPr>
          <w:t xml:space="preserve">menurunkan harga LNG non-HGBT</w:t>
        </w:r>
      </w:hyperlink>
      <w:r>
        <w:t xml:space="preserve"> </w:t>
      </w:r>
      <w:r>
        <w:t xml:space="preserve">untuk Jawa Barat, Banten, dan DKI Jakarta dari USD 20,57 menjadi USD 13/MMBTU. Itu angka regional untuk LNG, bukan CNG, tetapi jadi pengingat bahwa benchmark renewal perlu diperbarui, bukan disalin dari kontrak lama. Untuk kebutuhan volume besar, membandingkan</w:t>
      </w:r>
      <w:r>
        <w:t xml:space="preserve"> </w:t>
      </w:r>
      <w:hyperlink r:id="rId24">
        <w:r>
          <w:rPr>
            <w:rStyle w:val="Hyperlink"/>
          </w:rPr>
          <w:t xml:space="preserve">opsi pasokan LNG</w:t>
        </w:r>
      </w:hyperlink>
      <w:r>
        <w:t xml:space="preserve"> </w:t>
      </w:r>
      <w:r>
        <w:t xml:space="preserve">juga relevan saat menimbang tender ulang.</w:t>
      </w:r>
    </w:p>
    <w:p>
      <w:pPr>
        <w:pStyle w:val="BodyText"/>
      </w:pPr>
      <w:r>
        <w:t xml:space="preserve">Sebelum tergoda harga yang sedikit lebih rendah, hitung switching cost (biaya berpindah), yang jarang tampak di penawaran dan bersifat kualitatif:</w:t>
      </w:r>
    </w:p>
    <w:p>
      <w:pPr>
        <w:pStyle w:val="Compact"/>
        <w:numPr>
          <w:ilvl w:val="0"/>
          <w:numId w:val="1002"/>
        </w:numPr>
      </w:pPr>
      <w:r>
        <w:t xml:space="preserve">Retrofit atau sertifikasi ulang PRS dan</w:t>
      </w:r>
      <w:r>
        <w:t xml:space="preserve"> </w:t>
      </w:r>
      <w:r>
        <w:rPr>
          <w:i/>
          <w:iCs/>
        </w:rPr>
        <w:t xml:space="preserve">burner</w:t>
      </w:r>
      <w:r>
        <w:t xml:space="preserve"> </w:t>
      </w:r>
      <w:r>
        <w:t xml:space="preserve">bila spesifikasi penyedia baru berbeda.</w:t>
      </w:r>
    </w:p>
    <w:p>
      <w:pPr>
        <w:pStyle w:val="Compact"/>
        <w:numPr>
          <w:ilvl w:val="0"/>
          <w:numId w:val="1002"/>
        </w:numPr>
      </w:pPr>
      <w:r>
        <w:t xml:space="preserve">Downtime operasional selama masa transisi pasokan.</w:t>
      </w:r>
    </w:p>
    <w:p>
      <w:pPr>
        <w:pStyle w:val="Compact"/>
        <w:numPr>
          <w:ilvl w:val="0"/>
          <w:numId w:val="1002"/>
        </w:numPr>
      </w:pPr>
      <w:r>
        <w:t xml:space="preserve">Kurva belajar tim terhadap sistem telemetri dan tagihan baru.</w:t>
      </w:r>
    </w:p>
    <w:p>
      <w:pPr>
        <w:pStyle w:val="Compact"/>
        <w:numPr>
          <w:ilvl w:val="0"/>
          <w:numId w:val="1002"/>
        </w:numPr>
      </w:pPr>
      <w:r>
        <w:t xml:space="preserve">Kewajiban pada klausul exit di kontrak lama.</w:t>
      </w:r>
    </w:p>
    <w:p>
      <w:pPr>
        <w:pStyle w:val="FirstParagraph"/>
      </w:pPr>
      <w:r>
        <w:t xml:space="preserve">Angka rupiahnya berbeda tiap pembeli, bergantung pada infrastruktur terpasang, jadi tak ada nilai baku. Di sinilah klausul exit berperan: berbeda dari klausul terminasi yang mengatur kapan kontrak diakhiri, klausul exit mengatur jalannya transisi, termasuk transfer data pemakaian dan kelanjutan kualitas. Masa transisi 3-6 bulan lazim dinegosiasikan dalam praktik manajemen kontrak lintas industri, bukan standar wajib kontrak gas di Indonesia.</w:t>
      </w:r>
    </w:p>
    <w:p>
      <w:pPr>
        <w:pStyle w:val="BodyText"/>
      </w:pPr>
      <w:r>
        <w:rPr>
          <w:i/>
          <w:iCs/>
        </w:rPr>
        <w:t xml:space="preserve">[Image 02: Diagram pohon keputusan dari kotak</w:t>
      </w:r>
      <w:r>
        <w:rPr>
          <w:i/>
          <w:iCs/>
        </w:rPr>
        <w:t xml:space="preserve"> </w:t>
      </w:r>
      <w:r>
        <w:rPr>
          <w:i/>
          <w:iCs/>
        </w:rPr>
        <w:t xml:space="preserve">“Evaluasi Kinerja Tahunan”</w:t>
      </w:r>
      <w:r>
        <w:rPr>
          <w:i/>
          <w:iCs/>
        </w:rPr>
        <w:t xml:space="preserve"> </w:t>
      </w:r>
      <w:r>
        <w:rPr>
          <w:i/>
          <w:iCs/>
        </w:rPr>
        <w:t xml:space="preserve">ke tiga jalur berwarna,</w:t>
      </w:r>
      <w:r>
        <w:rPr>
          <w:i/>
          <w:iCs/>
        </w:rPr>
        <w:t xml:space="preserve"> </w:t>
      </w:r>
      <w:r>
        <w:rPr>
          <w:i/>
          <w:iCs/>
        </w:rPr>
        <w:t xml:space="preserve">“Perpanjang”</w:t>
      </w:r>
      <w:r>
        <w:rPr>
          <w:i/>
          <w:iCs/>
        </w:rPr>
        <w:t xml:space="preserve"> </w:t>
      </w:r>
      <w:r>
        <w:rPr>
          <w:i/>
          <w:iCs/>
        </w:rPr>
        <w:t xml:space="preserve">(hijau),</w:t>
      </w:r>
      <w:r>
        <w:rPr>
          <w:i/>
          <w:iCs/>
        </w:rPr>
        <w:t xml:space="preserve"> </w:t>
      </w:r>
      <w:r>
        <w:rPr>
          <w:i/>
          <w:iCs/>
        </w:rPr>
        <w:t xml:space="preserve">“Negosiasi Ulang”</w:t>
      </w:r>
      <w:r>
        <w:rPr>
          <w:i/>
          <w:iCs/>
        </w:rPr>
        <w:t xml:space="preserve"> </w:t>
      </w:r>
      <w:r>
        <w:rPr>
          <w:i/>
          <w:iCs/>
        </w:rPr>
        <w:t xml:space="preserve">(kuning),</w:t>
      </w:r>
      <w:r>
        <w:rPr>
          <w:i/>
          <w:iCs/>
        </w:rPr>
        <w:t xml:space="preserve"> </w:t>
      </w:r>
      <w:r>
        <w:rPr>
          <w:i/>
          <w:iCs/>
        </w:rPr>
        <w:t xml:space="preserve">“Tender Ulang”</w:t>
      </w:r>
      <w:r>
        <w:rPr>
          <w:i/>
          <w:iCs/>
        </w:rPr>
        <w:t xml:space="preserve"> </w:t>
      </w:r>
      <w:r>
        <w:rPr>
          <w:i/>
          <w:iCs/>
        </w:rPr>
        <w:t xml:space="preserve">(merah), tiap cabang berpemicu singkat (skor kinerja, harga vs benchmark, switching cost); teks Bahasa Indonesia, gaya flowchart korporat. alt: pohon keputusan perpanjang, negosiasi ulang, atau tender ulang penyedia CNG.]</w:t>
      </w:r>
    </w:p>
    <w:bookmarkEnd w:id="25"/>
    <w:bookmarkStart w:id="26" w:name="Xa9ddef40b112258e588d4e8e436153e056111ed"/>
    <w:p>
      <w:pPr>
        <w:pStyle w:val="Heading2"/>
      </w:pPr>
      <w:r>
        <w:t xml:space="preserve">Kenapa Vendor Termurah Berikutnya Belum Tentu Lebih Murah</w:t>
      </w:r>
    </w:p>
    <w:p>
      <w:pPr>
        <w:pStyle w:val="FirstParagraph"/>
      </w:pPr>
      <w:r>
        <w:t xml:space="preserve">Harga per MMBTU yang sedikit lebih rendah bisa kalah oleh switching cost yang tinggi: retrofit PRS, downtime transisi, dan kurva belajar tim. Yang seharusnya dibandingkan adalah</w:t>
      </w:r>
      <w:r>
        <w:t xml:space="preserve"> </w:t>
      </w:r>
      <w:r>
        <w:rPr>
          <w:i/>
          <w:iCs/>
        </w:rPr>
        <w:t xml:space="preserve">total cost of ownership</w:t>
      </w:r>
      <w:r>
        <w:t xml:space="preserve"> </w:t>
      </w:r>
      <w:r>
        <w:t xml:space="preserve">(biaya kepemilikan total), bukan harga satuan. Tetapi bertahan pada penyedia yang buruk secara kronis demi menghindari repot juga keliru, karena itu bentuk lock-in tak sehat.</w:t>
      </w:r>
    </w:p>
    <w:p>
      <w:pPr>
        <w:pStyle w:val="BodyText"/>
      </w:pPr>
      <w:r>
        <w:t xml:space="preserve">Ada dua kesalahan bercermin. Pertama, gonta-ganti penyedia demi selisih tipis padahal switching cost tinggi; penghematan di atas kertas hilang oleh biaya transisi dan downtime. Untuk pasokan kritikal, keandalan yang sudah terbukti bernilai nyata saat produksi tak boleh berhenti.</w:t>
      </w:r>
    </w:p>
    <w:p>
      <w:pPr>
        <w:pStyle w:val="BodyText"/>
      </w:pPr>
      <w:r>
        <w:t xml:space="preserve">Kebalikannya juga keliru: bertahan pada penyedia yang buruk kronis karena berpindah terasa merepotkan. Bila pelanggaran SLA berulang, insiden K3 tak membaik, dan rencana perbaikan tak pernah terealisasi setelah beberapa QBR, keengganan pindah berubah jadi lock-in yang membebani, dan tender ulang justru pilihan paling rasional. Kuncinya sama: keputusan berbasis data tren, bukan rasa nyaman atau rasa takut.</w:t>
      </w:r>
    </w:p>
    <w:bookmarkEnd w:id="26"/>
    <w:bookmarkStart w:id="33" w:name="faq-pertanyaan-yang-sering-diajukan"/>
    <w:p>
      <w:pPr>
        <w:pStyle w:val="Heading2"/>
      </w:pPr>
      <w:r>
        <w:t xml:space="preserve">FAQ (Pertanyaan yang Sering Diajukan)</w:t>
      </w:r>
    </w:p>
    <w:bookmarkStart w:id="27" w:name="X4ceb4bc660f6e0ba3c78be65fbbeb0e7e72d504"/>
    <w:p>
      <w:pPr>
        <w:pStyle w:val="Heading3"/>
      </w:pPr>
      <w:r>
        <w:t xml:space="preserve">Apa itu QBR dalam manajemen vendor penyedia gas?</w:t>
      </w:r>
    </w:p>
    <w:p>
      <w:pPr>
        <w:pStyle w:val="FirstParagraph"/>
      </w:pPr>
      <w:r>
        <w:t xml:space="preserve">QBR (</w:t>
      </w:r>
      <w:r>
        <w:rPr>
          <w:i/>
          <w:iCs/>
        </w:rPr>
        <w:t xml:space="preserve">Quarterly Business Review</w:t>
      </w:r>
      <w:r>
        <w:t xml:space="preserve">) adalah forum tinjauan strategis, umumnya triwulanan, untuk membahas tren kinerja, menyelaraskan ekspektasi, dan menyepakati rencana perbaikan. Outputnya berupa action item terdokumentasi, yang menjadi rekam jejak objektif saat kontrak mendekati masa perpanjangan.</w:t>
      </w:r>
    </w:p>
    <w:bookmarkEnd w:id="27"/>
    <w:bookmarkStart w:id="28" w:name="X8efff533db54fd9f52e4747b8d2ca1bd64f439b"/>
    <w:p>
      <w:pPr>
        <w:pStyle w:val="Heading3"/>
      </w:pPr>
      <w:r>
        <w:t xml:space="preserve">Bagaimana menghitung switching cost saat mengganti penyedia gas?</w:t>
      </w:r>
    </w:p>
    <w:p>
      <w:pPr>
        <w:pStyle w:val="FirstParagraph"/>
      </w:pPr>
      <w:r>
        <w:t xml:space="preserve">Switching cost bersifat kualitatif: retrofit atau sertifikasi ulang Pressure Reduction System (PRS) bila spesifikasi berbeda, downtime selama transisi, kurva belajar tim, serta kewajiban klausul exit. Tanpa menghitungnya, penyedia yang tampak lebih murah bisa jadi lebih mahal secara total.</w:t>
      </w:r>
    </w:p>
    <w:bookmarkEnd w:id="28"/>
    <w:bookmarkStart w:id="29" w:name="X322571e506bff2c575a1ec0ce9ffce5e2a9e62f"/>
    <w:p>
      <w:pPr>
        <w:pStyle w:val="Heading3"/>
      </w:pPr>
      <w:r>
        <w:t xml:space="preserve">Kapan sebaiknya memperpanjang atau tender ulang penyedia?</w:t>
      </w:r>
    </w:p>
    <w:p>
      <w:pPr>
        <w:pStyle w:val="FirstParagraph"/>
      </w:pPr>
      <w:r>
        <w:t xml:space="preserve">Perpanjang bila skor kinerja konsisten baik dan harga kompetitif terhadap benchmark segmen. Tender ulang bila pelanggaran SLA berulang atau insiden K3 kronis tak membaik meski sudah melewati rencana perbaikan di QBR. Putuskan dari tren data, bukan tenggat yang mepet.</w:t>
      </w:r>
    </w:p>
    <w:bookmarkEnd w:id="29"/>
    <w:bookmarkStart w:id="30" w:name="X9d5009e4abebbd48a57a5d553081d150eeff9c1"/>
    <w:p>
      <w:pPr>
        <w:pStyle w:val="Heading3"/>
      </w:pPr>
      <w:r>
        <w:t xml:space="preserve">Apa itu klausul exit dalam kontrak pasokan gas?</w:t>
      </w:r>
    </w:p>
    <w:p>
      <w:pPr>
        <w:pStyle w:val="FirstParagraph"/>
      </w:pPr>
      <w:r>
        <w:t xml:space="preserve">Klausul exit mengatur kewajiban penyedia mendukung transisi tertib saat kontrak berakhir: masa transisi (praktik lintas industri umumnya 3-6 bulan), transfer data telemetri, dan kelanjutan kualitas layanan. Ini berbeda dari klausul terminasi yang hanya mengatur cara mengakhiri kontrak.</w:t>
      </w:r>
    </w:p>
    <w:bookmarkEnd w:id="30"/>
    <w:bookmarkStart w:id="31" w:name="X5e8da895691adf021884f3a3286ad82e29b96a5"/>
    <w:p>
      <w:pPr>
        <w:pStyle w:val="Heading3"/>
      </w:pPr>
      <w:r>
        <w:t xml:space="preserve">Bagaimana membuat benchmark harga gas saat kontrak akan diperpanjang?</w:t>
      </w:r>
    </w:p>
    <w:p>
      <w:pPr>
        <w:pStyle w:val="FirstParagraph"/>
      </w:pPr>
      <w:r>
        <w:t xml:space="preserve">Rujuk kebijakan resmi yang relevan bagi segmen Anda, misalnya HGBT USD 6,5-7/MMBTU untuk tujuh sektor industri tertentu (Kepmen ESDM No. 76.K/2025). Pembeli di luar sektor itu membandingkan dengan harga komersial non-HGBT yang relevan, bukan menyamaratakan angka HGBT.</w:t>
      </w:r>
    </w:p>
    <w:bookmarkEnd w:id="31"/>
    <w:bookmarkStart w:id="32" w:name="X78384f7df16fd8091b73f8fb5412cc86b48ef68"/>
    <w:p>
      <w:pPr>
        <w:pStyle w:val="Heading3"/>
      </w:pPr>
      <w:r>
        <w:t xml:space="preserve">Seberapa sering audit SLA dan tinjauan kinerja penyedia sebaiknya dilakukan?</w:t>
      </w:r>
    </w:p>
    <w:p>
      <w:pPr>
        <w:pStyle w:val="FirstParagraph"/>
      </w:pPr>
      <w:r>
        <w:t xml:space="preserve">Praktik umum manajemen vendor merekomendasikan tinjauan operasional bulanan, QBR strategis triwulanan, dan audit SLA menyeluruh setahun sekali, terutama menjelang perpanjangan. Ritme ini memastikan tren jangka panjang, bukan insiden tunggal, yang menjadi dasar keputusan perpanjang atau tender ulang, sekaligus memberi penyedia waktu menindaklanjuti rencana perbaikan sebelum kontrak berakhir.</w:t>
      </w:r>
    </w:p>
    <w:bookmarkEnd w:id="32"/>
    <w:bookmarkEnd w:id="33"/>
    <w:bookmarkStart w:id="34" w:name="kesimpulan"/>
    <w:p>
      <w:pPr>
        <w:pStyle w:val="Heading2"/>
      </w:pPr>
      <w:r>
        <w:t xml:space="preserve">Kesimpulan</w:t>
      </w:r>
    </w:p>
    <w:p>
      <w:pPr>
        <w:pStyle w:val="FirstParagraph"/>
      </w:pPr>
      <w:r>
        <w:t xml:space="preserve">Masa operasi, bukan masa tender, adalah tempat kontrak pasokan gas benar-benar diuji. Tim yang mengukur kinerja dengan scorecard, menjaga ritme QBR, dan menghitung switching cost secara jujur akan tiba di momen renewal dengan jawaban, bukan tebakan. Perpanjang, negosiasi ulang, atau tender ulang, ketiganya sah selama diputuskan dari tren data. Sebagai anak usaha PGN yang merupakan bagian dari Subholding Gas Pertamina, PGN Gagas menyalurkan gas bumi ke pelanggan industri dan komersial lewat solusi CNG, dengan telemetri, SLA, dan dukungan 24 jam yang bisa ditinjau pembeli setiap QBR.</w:t>
      </w:r>
    </w:p>
    <w:p>
      <w:pPr>
        <w:pStyle w:val="BodyText"/>
      </w:pPr>
      <w:r>
        <w:t xml:space="preserve">Untuk mendiskusikan cara menata evaluasi kinerja perusahaan CNG dan kesiapan renewal pasokan di perusahaan Anda, kunjungi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4" Target="https://gagas.co.id/perusahaan-lng-indonesia/" TargetMode="External" /><Relationship Type="http://schemas.openxmlformats.org/officeDocument/2006/relationships/hyperlink" Id="rId23" Target="https://www.esdm.go.id/id/media-center/arsip-berita/selamatkan-industri-menteri-esdm-turunkan-harga-lng-industri" TargetMode="External" /><Relationship Type="http://schemas.openxmlformats.org/officeDocument/2006/relationships/hyperlink" Id="rId22" Target="https://www.esdm.go.id/id/media-center/arsip-berita/skema-baru-hgbt-perkuat-daya-saing-industri-dan-efisiensi-anggaran-negara" TargetMode="External" /></Relationships>
</file>

<file path=word/_rels/footnotes.xml.rels><?xml version="1.0" encoding="UTF-8"?><Relationships xmlns="http://schemas.openxmlformats.org/package/2006/relationships"><Relationship Type="http://schemas.openxmlformats.org/officeDocument/2006/relationships/hyperlink" Id="rId19"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4" Target="https://gagas.co.id/perusahaan-lng-indonesia/" TargetMode="External" /><Relationship Type="http://schemas.openxmlformats.org/officeDocument/2006/relationships/hyperlink" Id="rId23" Target="https://www.esdm.go.id/id/media-center/arsip-berita/selamatkan-industri-menteri-esdm-turunkan-harga-lng-industri" TargetMode="External" /><Relationship Type="http://schemas.openxmlformats.org/officeDocument/2006/relationships/hyperlink" Id="rId22" Target="https://www.esdm.go.id/id/media-center/arsip-berita/skema-baru-hgbt-perkuat-daya-saing-industri-dan-efisiensi-anggaran-nega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2026-09-21T04:11:41Z</dcterms:created>
  <dcterms:modified xsi:type="dcterms:W3CDTF">2026-09-21T04:11:41Z</dcterms:modified>
</cp:coreProperties>
</file>

<file path=docProps/custom.xml><?xml version="1.0" encoding="utf-8"?>
<Properties xmlns="http://schemas.openxmlformats.org/officeDocument/2006/custom-properties" xmlns:vt="http://schemas.openxmlformats.org/officeDocument/2006/docPropsVTypes"/>
</file>