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"Regulasi CNG di Indonesia: Aturan, Regulator, dan Arah Kebijakannya"</w:t>
      </w:r>
      <w:r>
        <w:br/>
      </w:r>
      <w:r>
        <w:rPr>
          <w:rStyle w:val="FunctionTok"/>
        </w:rPr>
        <w:t xml:space="preserve">meta_title</w:t>
      </w:r>
      <w:r>
        <w:rPr>
          <w:rStyle w:val="KeywordTok"/>
        </w:rPr>
        <w:t xml:space="preserve">:</w:t>
      </w:r>
      <w:r>
        <w:rPr>
          <w:rStyle w:val="AttributeTok"/>
        </w:rPr>
        <w:t xml:space="preserve"> </w:t>
      </w:r>
      <w:r>
        <w:rPr>
          <w:rStyle w:val="StringTok"/>
        </w:rPr>
        <w:t xml:space="preserve">"Regulasi CNG di Indonesia: Aturan &amp; Regulatornya"</w:t>
      </w:r>
      <w:r>
        <w:br/>
      </w:r>
      <w:r>
        <w:rPr>
          <w:rStyle w:val="FunctionTok"/>
        </w:rPr>
        <w:t xml:space="preserve">meta_description</w:t>
      </w:r>
      <w:r>
        <w:rPr>
          <w:rStyle w:val="KeywordTok"/>
        </w:rPr>
        <w:t xml:space="preserve">:</w:t>
      </w:r>
      <w:r>
        <w:rPr>
          <w:rStyle w:val="AttributeTok"/>
        </w:rPr>
        <w:t xml:space="preserve"> </w:t>
      </w:r>
      <w:r>
        <w:rPr>
          <w:rStyle w:val="StringTok"/>
        </w:rPr>
        <w:t xml:space="preserve">"Regulasi CNG di Indonesia diatur dalam kerangka hilir migas. Kenali payung UU No. 22/2001, peran ESDM &amp; BPH Migas, skema HGBT, hingga roadmap konversi 2026."</w:t>
      </w:r>
      <w:r>
        <w:br/>
      </w:r>
      <w:r>
        <w:rPr>
          <w:rStyle w:val="FunctionTok"/>
        </w:rPr>
        <w:t xml:space="preserve">slug</w:t>
      </w:r>
      <w:r>
        <w:rPr>
          <w:rStyle w:val="KeywordTok"/>
        </w:rPr>
        <w:t xml:space="preserve">:</w:t>
      </w:r>
      <w:r>
        <w:rPr>
          <w:rStyle w:val="AttributeTok"/>
        </w:rPr>
        <w:t xml:space="preserve"> </w:t>
      </w:r>
      <w:r>
        <w:rPr>
          <w:rStyle w:val="StringTok"/>
        </w:rPr>
        <w:t xml:space="preserve">"regulasi-cng-indonesia"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"regulasi CNG"</w:t>
      </w:r>
      <w:r>
        <w:rPr>
          <w:rStyle w:val="KeywordTok"/>
        </w:rPr>
        <w:t xml:space="preserve">,</w:t>
      </w:r>
      <w:r>
        <w:rPr>
          <w:rStyle w:val="AttributeTok"/>
        </w:rPr>
        <w:t xml:space="preserve"> </w:t>
      </w:r>
      <w:r>
        <w:rPr>
          <w:rStyle w:val="StringTok"/>
        </w:rPr>
        <w:t xml:space="preserve">"konversi BBM ke BBG"</w:t>
      </w:r>
      <w:r>
        <w:rPr>
          <w:rStyle w:val="KeywordTok"/>
        </w:rPr>
        <w:t xml:space="preserve">,</w:t>
      </w:r>
      <w:r>
        <w:rPr>
          <w:rStyle w:val="AttributeTok"/>
        </w:rPr>
        <w:t xml:space="preserve"> </w:t>
      </w:r>
      <w:r>
        <w:rPr>
          <w:rStyle w:val="StringTok"/>
        </w:rPr>
        <w:t xml:space="preserve">"UU Migas No. 22 Tahun 2001"</w:t>
      </w:r>
      <w:r>
        <w:rPr>
          <w:rStyle w:val="KeywordTok"/>
        </w:rPr>
        <w:t xml:space="preserve">,</w:t>
      </w:r>
      <w:r>
        <w:rPr>
          <w:rStyle w:val="AttributeTok"/>
        </w:rPr>
        <w:t xml:space="preserve"> </w:t>
      </w:r>
      <w:r>
        <w:rPr>
          <w:rStyle w:val="StringTok"/>
        </w:rPr>
        <w:t xml:space="preserve">"BPH Migas"</w:t>
      </w:r>
      <w:r>
        <w:rPr>
          <w:rStyle w:val="KeywordTok"/>
        </w:rPr>
        <w:t xml:space="preserve">,</w:t>
      </w:r>
      <w:r>
        <w:rPr>
          <w:rStyle w:val="AttributeTok"/>
        </w:rPr>
        <w:t xml:space="preserve"> </w:t>
      </w:r>
      <w:r>
        <w:rPr>
          <w:rStyle w:val="StringTok"/>
        </w:rPr>
        <w:t xml:space="preserve">"Kementerian ESDM"</w:t>
      </w:r>
      <w:r>
        <w:rPr>
          <w:rStyle w:val="KeywordTok"/>
        </w:rPr>
        <w:t xml:space="preserve">,</w:t>
      </w:r>
      <w:r>
        <w:rPr>
          <w:rStyle w:val="AttributeTok"/>
        </w:rPr>
        <w:t xml:space="preserve"> </w:t>
      </w:r>
      <w:r>
        <w:rPr>
          <w:rStyle w:val="StringTok"/>
        </w:rPr>
        <w:t xml:space="preserve">"izin usaha niaga gas"</w:t>
      </w:r>
      <w:r>
        <w:rPr>
          <w:rStyle w:val="KeywordTok"/>
        </w:rPr>
        <w:t xml:space="preserve">,</w:t>
      </w:r>
      <w:r>
        <w:rPr>
          <w:rStyle w:val="AttributeTok"/>
        </w:rPr>
        <w:t xml:space="preserve"> </w:t>
      </w:r>
      <w:r>
        <w:rPr>
          <w:rStyle w:val="StringTok"/>
        </w:rPr>
        <w:t xml:space="preserve">"HGBT"</w:t>
      </w:r>
      <w:r>
        <w:rPr>
          <w:rStyle w:val="KeywordTok"/>
        </w:rPr>
        <w:t xml:space="preserve">,</w:t>
      </w:r>
      <w:r>
        <w:rPr>
          <w:rStyle w:val="AttributeTok"/>
        </w:rPr>
        <w:t xml:space="preserve"> </w:t>
      </w:r>
      <w:r>
        <w:rPr>
          <w:rStyle w:val="StringTok"/>
        </w:rPr>
        <w:t xml:space="preserve">"jaringan gas kota"</w:t>
      </w:r>
      <w:r>
        <w:rPr>
          <w:rStyle w:val="KeywordTok"/>
        </w:rPr>
        <w:t xml:space="preserve">,</w:t>
      </w:r>
      <w:r>
        <w:rPr>
          <w:rStyle w:val="AttributeTok"/>
        </w:rPr>
        <w:t xml:space="preserve"> </w:t>
      </w:r>
      <w:r>
        <w:rPr>
          <w:rStyle w:val="StringTok"/>
        </w:rPr>
        <w:t xml:space="preserve">"roadmap konversi CNG 2026"</w:t>
      </w:r>
      <w:r>
        <w:rPr>
          <w:rStyle w:val="KeywordTok"/>
        </w:rPr>
        <w:t xml:space="preserve">,</w:t>
      </w:r>
      <w:r>
        <w:rPr>
          <w:rStyle w:val="AttributeTok"/>
        </w:rPr>
        <w:t xml:space="preserve"> </w:t>
      </w:r>
      <w:r>
        <w:rPr>
          <w:rStyle w:val="StringTok"/>
        </w:rPr>
        <w:t xml:space="preserve">"kebijakan energi nasional"</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"program konversi BBM ke BBG di sektor transportasi"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dalam kebijakan gas nasional"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"https://www.esdm.go.id/id/media-center/arsip-berita/skema-baru-hgbt-perkuat-daya-saing-industri-dan-efisiensi-anggaran-negara"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"Angka &amp; cakupan HGBT 2025 (USD 7 / 6,5 per MMBTU, 7 sektor, 253 perusahaan, Kepmen 76.K/2025)"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"https://www.bphmigas.go.id/fungsi-dan-tugas/"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"Kewenangan BPH Migas mengatur niaga &amp; pengangkutan gas bumi pipa, tarif, dan harga gas rumah tangga"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"https://migas.esdm.go.id/post/Pemerintah-Siapkan-Roadmap-Konversi-ke-CNG-Guna-Kurangi-Beban-Subsidi-LPG"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"Sinyal kebijakan substitusi LPG dengan CNG/LNG (Ditjen Migas, 6 Mei 2026)"</w:t>
      </w:r>
      <w:r>
        <w:br/>
      </w:r>
      <w:r>
        <w:rPr>
          <w:rStyle w:val="FunctionTok"/>
        </w:rPr>
        <w:t xml:space="preserve">brief_id</w:t>
      </w:r>
      <w:r>
        <w:rPr>
          <w:rStyle w:val="KeywordTok"/>
        </w:rPr>
        <w:t xml:space="preserve">:</w:t>
      </w:r>
      <w:r>
        <w:rPr>
          <w:rStyle w:val="AttributeTok"/>
        </w:rPr>
        <w:t xml:space="preserve"> </w:t>
      </w:r>
      <w:r>
        <w:rPr>
          <w:rStyle w:val="StringTok"/>
        </w:rPr>
        <w:t xml:space="preserve">"cng-indonesia-01"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1571</w:t>
      </w:r>
    </w:p>
    <w:p>
      <w:r>
        <w:pict>
          <v:rect style="width:0;height:1.5pt" o:hralign="center" o:hrstd="t" o:hr="t"/>
        </w:pict>
      </w:r>
    </w:p>
    <w:bookmarkEnd w:id="16"/>
    <w:bookmarkStart w:id="36" w:name="X848233271f55e5d999538fac21653e33d3551a6"/>
    <w:p>
      <w:pPr>
        <w:pStyle w:val="Heading1"/>
      </w:pPr>
      <w:r>
        <w:t xml:space="preserve">Regulasi CNG di Indonesia: Aturan, Regulator, dan Arah Kebijakannya</w:t>
      </w:r>
    </w:p>
    <w:p>
      <w:pPr>
        <w:pStyle w:val="FirstParagraph"/>
      </w:pPr>
      <w:r>
        <w:t xml:space="preserve">Banyak pengambil keputusan energi hafal argumen bahwa CNG lebih hemat dan lebih bersih daripada solar atau LPG. Tetapi begitu ditanya siapa yang mengizinkan usahanya, aturan mana yang berlaku, dan ke mana arah kebijakannya, jawabannya kerap kabur. Padahal kepastian regulasi itulah yang menentukan apakah sebuah proyek gas layak dijalankan lima tahun ke depan. Artikel ini memetakan bagaimana</w:t>
      </w:r>
      <w:r>
        <w:t xml:space="preserve"> </w:t>
      </w:r>
      <w:hyperlink r:id="rId17">
        <w:r>
          <w:rPr>
            <w:rStyle w:val="Hyperlink"/>
          </w:rPr>
          <w:t xml:space="preserve">CNG di Indonesia</w:t>
        </w:r>
      </w:hyperlink>
      <w:r>
        <w:t xml:space="preserve"> </w:t>
      </w:r>
      <w:r>
        <w:t xml:space="preserve">diatur oleh negara: dari payung undang-undang, pembagian wewenang regulator, standar teknis, sampai arah roadmap konversi, tanpa jargon dan tanpa sudut jualan.</w:t>
      </w:r>
    </w:p>
    <w:p>
      <w:pPr>
        <w:pStyle w:val="BlockText"/>
      </w:pPr>
      <w:r>
        <w:rPr>
          <w:b/>
          <w:bCs/>
        </w:rPr>
        <w:t xml:space="preserve">Ringkasnya:</w:t>
      </w:r>
      <w:r>
        <w:t xml:space="preserve"> </w:t>
      </w:r>
      <w:r>
        <w:t xml:space="preserve">Regulasi CNG di Indonesia adalah kerangka hukum yang mengatur niaga, pengangkutan, penyimpanan, dan pemanfaatan</w:t>
      </w:r>
      <w:r>
        <w:t xml:space="preserve"> </w:t>
      </w:r>
      <w:r>
        <w:rPr>
          <w:i/>
          <w:iCs/>
        </w:rPr>
        <w:t xml:space="preserve">Compressed Natural Gas</w:t>
      </w:r>
      <w:r>
        <w:t xml:space="preserve"> </w:t>
      </w:r>
      <w:r>
        <w:t xml:space="preserve">(CNG) sebagai bagian kegiatan usaha hilir minyak dan gas bumi. Kerangka ini berpayung pada UU No. 22 Tahun 2001, dijalankan Kementerian ESDM sebagai perumus kebijakan dan BPH Migas sebagai pengatur niaga, dengan aturan teknis seperti Permen ESDM No. 25 Tahun 2017.</w:t>
      </w:r>
    </w:p>
    <w:bookmarkStart w:id="18" w:name="X731458845b44ca3c7ecfdaa4bc0f55862be1da2"/>
    <w:p>
      <w:pPr>
        <w:pStyle w:val="Heading2"/>
      </w:pPr>
      <w:r>
        <w:t xml:space="preserve">Bagaimana CNG Diatur di Indonesia? Gambaran Singkat</w:t>
      </w:r>
    </w:p>
    <w:p>
      <w:pPr>
        <w:pStyle w:val="FirstParagraph"/>
      </w:pPr>
      <w:r>
        <w:t xml:space="preserve">CNG tidak punya undang-undang tersendiri. Ia diatur sebagai bagian kegiatan usaha hilir migas, yang mencakup pengolahan, pengangkutan, penyimpanan, dan niaga, di bawah UU No. 22 Tahun 2001 tentang Minyak dan Gas Bumi. Artinya, aturan yang menaungi CNG sama dengan yang mengatur BBM, LPG, dan gas pipa.</w:t>
      </w:r>
    </w:p>
    <w:p>
      <w:pPr>
        <w:pStyle w:val="BodyText"/>
      </w:pPr>
      <w:r>
        <w:t xml:space="preserve">Ini sering disalahpahami. Yang mencari</w:t>
      </w:r>
      <w:r>
        <w:t xml:space="preserve"> </w:t>
      </w:r>
      <w:r>
        <w:t xml:space="preserve">“UU CNG”</w:t>
      </w:r>
      <w:r>
        <w:t xml:space="preserve"> </w:t>
      </w:r>
      <w:r>
        <w:t xml:space="preserve">tidak akan menemukannya, sebab CNG bukan komoditas dengan rezim hukum terpisah. UU Migas membagi usaha menjadi hulu (eksplorasi dan eksploitasi) dan hilir (pengolahan sampai niaga); CNG berada di sisi hilir sebagai salah satu moda menyalurkan gas bumi ke pengguna. Payung ini telah diubah lewat UU No. 11 Tahun 2020 tentang Cipta Kerja dan UU No. 6 Tahun 2023, namun kerangka dasarnya tetap berlaku.</w:t>
      </w:r>
    </w:p>
    <w:bookmarkEnd w:id="18"/>
    <w:bookmarkStart w:id="20" w:name="X36851736f84b65667e6a0ffccea62b9f744cb71"/>
    <w:p>
      <w:pPr>
        <w:pStyle w:val="Heading2"/>
      </w:pPr>
      <w:r>
        <w:t xml:space="preserve">Siapa Saja yang Mengatur Gas Bumi dan CNG?</w:t>
      </w:r>
    </w:p>
    <w:p>
      <w:pPr>
        <w:pStyle w:val="FirstParagraph"/>
      </w:pPr>
      <w:r>
        <w:t xml:space="preserve">Tiga lembaga berbagi peran. Kementerian ESDM melalui Ditjen Migas merumuskan kebijakan dan regulasi teknis. BPH Migas mengatur serta mengawasi niaga dan pengangkutan gas bumi lewat pipa di hilir, termasuk tarif dan harga gas rumah tangga. SKK Migas mengurus kegiatan usaha hulu, yakni eksplorasi dan produksi, bukan niaga CNG.</w:t>
      </w:r>
    </w:p>
    <w:p>
      <w:pPr>
        <w:pStyle w:val="BodyText"/>
      </w:pPr>
      <w:r>
        <w:t xml:space="preserve">Pemisahan ini menentukan ke mana badan usaha mengurus izin dan siapa yang mengawasinya. SKK Migas dibentuk lewat Perpres No. 9 Tahun 2013 untuk menggantikan BP Migas yang dibubarkan Mahkamah Konstitusi pada 13 November 2012, dan perannya murni di hulu. Kewenangan menata niaga serta harga gas di hilir ada pada</w:t>
      </w:r>
      <w:r>
        <w:t xml:space="preserve"> </w:t>
      </w:r>
      <w:hyperlink r:id="rId19">
        <w:r>
          <w:rPr>
            <w:rStyle w:val="Hyperlink"/>
          </w:rPr>
          <w:t xml:space="preserve">BPH Migas</w:t>
        </w:r>
      </w:hyperlink>
      <w:r>
        <w:t xml:space="preserve">.</w:t>
      </w:r>
    </w:p>
    <w:p>
      <w:pPr>
        <w:pStyle w:val="BodyText"/>
      </w:pPr>
      <w:r>
        <w:rPr>
          <w:i/>
          <w:iCs/>
        </w:rPr>
        <w:t xml:space="preserve">[Image 01: Diagram alur wewenang regulator gas bumi Indonesia: tiga kotak sejajar (Kementerian ESDM untuk kebijakan, BPH Migas untuk niaga &amp; pengangkutan pipa hilir, SKK Migas untuk pengawasan hulu di jalur terpisah) dengan panah menurun ke</w:t>
      </w:r>
      <w:r>
        <w:rPr>
          <w:i/>
          <w:iCs/>
        </w:rPr>
        <w:t xml:space="preserve"> </w:t>
      </w:r>
      <w:r>
        <w:rPr>
          <w:i/>
          <w:iCs/>
        </w:rPr>
        <w:t xml:space="preserve">“Badan usaha niaga CNG”</w:t>
      </w:r>
      <w:r>
        <w:rPr>
          <w:i/>
          <w:iCs/>
        </w:rPr>
        <w:t xml:space="preserve"> </w:t>
      </w:r>
      <w:r>
        <w:rPr>
          <w:i/>
          <w:iCs/>
        </w:rPr>
        <w:t xml:space="preserve">lalu</w:t>
      </w:r>
      <w:r>
        <w:rPr>
          <w:i/>
          <w:iCs/>
        </w:rPr>
        <w:t xml:space="preserve"> </w:t>
      </w:r>
      <w:r>
        <w:rPr>
          <w:i/>
          <w:iCs/>
        </w:rPr>
        <w:t xml:space="preserve">“Pelanggan industri, komersial, transportasi”</w:t>
      </w:r>
      <w:r>
        <w:rPr>
          <w:i/>
          <w:iCs/>
        </w:rPr>
        <w:t xml:space="preserve">. Gaya bersih, warna biru-hijau korporat, teks Bahasa Indonesia. Alt: diagram pembagian wewenang regulator CNG dan gas bumi di Indonesia]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Lembaga</w:t>
            </w:r>
          </w:p>
        </w:tc>
        <w:tc>
          <w:tcPr/>
          <w:p>
            <w:pPr>
              <w:pStyle w:val="Compact"/>
            </w:pPr>
            <w:r>
              <w:t xml:space="preserve">Peran utama</w:t>
            </w:r>
          </w:p>
        </w:tc>
        <w:tc>
          <w:tcPr/>
          <w:p>
            <w:pPr>
              <w:pStyle w:val="Compact"/>
            </w:pPr>
            <w:r>
              <w:t xml:space="preserve">Contoh kewenangan terkait gas bumi/CNG</w:t>
            </w:r>
          </w:p>
        </w:tc>
      </w:tr>
      <w:tr>
        <w:tc>
          <w:tcPr/>
          <w:p>
            <w:pPr>
              <w:pStyle w:val="Compact"/>
            </w:pPr>
            <w:r>
              <w:t xml:space="preserve">Kementerian ESDM (Ditjen Migas)</w:t>
            </w:r>
          </w:p>
        </w:tc>
        <w:tc>
          <w:tcPr/>
          <w:p>
            <w:pPr>
              <w:pStyle w:val="Compact"/>
            </w:pPr>
            <w:r>
              <w:t xml:space="preserve">Merumuskan kebijakan dan regulasi teknis migas nasional</w:t>
            </w:r>
          </w:p>
        </w:tc>
        <w:tc>
          <w:tcPr/>
          <w:p>
            <w:pPr>
              <w:pStyle w:val="Compact"/>
            </w:pPr>
            <w:r>
              <w:t xml:space="preserve">Menerbitkan Permen ESDM No. 25/2017, 32/2021, 7/2026; menyusun roadmap konversi</w:t>
            </w:r>
          </w:p>
        </w:tc>
      </w:tr>
      <w:tr>
        <w:tc>
          <w:tcPr/>
          <w:p>
            <w:pPr>
              <w:pStyle w:val="Compact"/>
            </w:pPr>
            <w:r>
              <w:t xml:space="preserve">BPH Migas</w:t>
            </w:r>
          </w:p>
        </w:tc>
        <w:tc>
          <w:tcPr/>
          <w:p>
            <w:pPr>
              <w:pStyle w:val="Compact"/>
            </w:pPr>
            <w:r>
              <w:t xml:space="preserve">Mengatur dan mengawasi niaga serta pengangkutan gas bumi lewat pipa</w:t>
            </w:r>
          </w:p>
        </w:tc>
        <w:tc>
          <w:tcPr/>
          <w:p>
            <w:pPr>
              <w:pStyle w:val="Compact"/>
            </w:pPr>
            <w:r>
              <w:t xml:space="preserve">Menetapkan tarif pengangkutan pipa dan harga gas rumah tangga</w:t>
            </w:r>
          </w:p>
        </w:tc>
      </w:tr>
      <w:tr>
        <w:tc>
          <w:tcPr/>
          <w:p>
            <w:pPr>
              <w:pStyle w:val="Compact"/>
            </w:pPr>
            <w:r>
              <w:t xml:space="preserve">SKK Migas</w:t>
            </w:r>
          </w:p>
        </w:tc>
        <w:tc>
          <w:tcPr/>
          <w:p>
            <w:pPr>
              <w:pStyle w:val="Compact"/>
            </w:pPr>
            <w:r>
              <w:t xml:space="preserve">Mengawasi kegiatan usaha hulu berbasis Kontrak Kerja Sama</w:t>
            </w:r>
          </w:p>
        </w:tc>
        <w:tc>
          <w:tcPr/>
          <w:p>
            <w:pPr>
              <w:pStyle w:val="Compact"/>
            </w:pPr>
            <w:r>
              <w:t xml:space="preserve">Memastikan pasokan gas dari lapangan produksi yang lalu diniagakan di hilir</w:t>
            </w:r>
          </w:p>
        </w:tc>
      </w:tr>
    </w:tbl>
    <w:bookmarkEnd w:id="20"/>
    <w:bookmarkStart w:id="21" w:name="X9dd635bddf9a3aa1f875ef6e5939208f9bf2878"/>
    <w:p>
      <w:pPr>
        <w:pStyle w:val="Heading2"/>
      </w:pPr>
      <w:r>
        <w:t xml:space="preserve">Aturan Hukum Apa Saja yang Menjadi Payung CNG?</w:t>
      </w:r>
    </w:p>
    <w:p>
      <w:pPr>
        <w:pStyle w:val="FirstParagraph"/>
      </w:pPr>
      <w:r>
        <w:t xml:space="preserve">Payung utamanya UU No. 22 Tahun 2001, yang diturunkan menjadi Peraturan Pemerintah, Peraturan Menteri ESDM, dan Keputusan Menteri. Untuk CNG, yang paling relevan adalah Permen ESDM No. 25 Tahun 2017 (BBG transportasi), Permen ESDM No. 32 Tahun 2021 (keselamatan instalasi), dan Permen ESDM No. 7 Tahun 2026 (standar izin usaha berbasis risiko).</w:t>
      </w:r>
    </w:p>
    <w:p>
      <w:pPr>
        <w:pStyle w:val="BodyText"/>
      </w:pPr>
      <w:r>
        <w:t xml:space="preserve">Susunannya bertingkat, dari yang paling tinggi:</w:t>
      </w:r>
    </w:p>
    <w:p>
      <w:pPr>
        <w:pStyle w:val="Compact"/>
        <w:numPr>
          <w:ilvl w:val="0"/>
          <w:numId w:val="1001"/>
        </w:numPr>
      </w:pPr>
      <w:r>
        <w:rPr>
          <w:b/>
          <w:bCs/>
        </w:rPr>
        <w:t xml:space="preserve">Undang-Undang:</w:t>
      </w:r>
      <w:r>
        <w:t xml:space="preserve"> </w:t>
      </w:r>
      <w:r>
        <w:t xml:space="preserve">UU No. 22 Tahun 2001 jo. UU No. 11/2020 jo. UU No. 6/2023, payung kegiatan usaha migas hulu dan hilir.</w:t>
      </w:r>
    </w:p>
    <w:p>
      <w:pPr>
        <w:pStyle w:val="Compact"/>
        <w:numPr>
          <w:ilvl w:val="0"/>
          <w:numId w:val="1001"/>
        </w:numPr>
      </w:pPr>
      <w:r>
        <w:rPr>
          <w:b/>
          <w:bCs/>
        </w:rPr>
        <w:t xml:space="preserve">Peraturan Pemerintah:</w:t>
      </w:r>
      <w:r>
        <w:t xml:space="preserve"> </w:t>
      </w:r>
      <w:r>
        <w:t xml:space="preserve">PP No. 36/2004 tentang kegiatan usaha hilir dan PP No. 5/2021 tentang perizinan berusaha berbasis risiko.</w:t>
      </w:r>
    </w:p>
    <w:p>
      <w:pPr>
        <w:pStyle w:val="Compact"/>
        <w:numPr>
          <w:ilvl w:val="0"/>
          <w:numId w:val="1001"/>
        </w:numPr>
      </w:pPr>
      <w:r>
        <w:rPr>
          <w:b/>
          <w:bCs/>
        </w:rPr>
        <w:t xml:space="preserve">Peraturan Menteri ESDM:</w:t>
      </w:r>
      <w:r>
        <w:t xml:space="preserve"> </w:t>
      </w:r>
      <w:r>
        <w:t xml:space="preserve">Permen ESDM No. 25/2017 (percepatan BBG transportasi jalan), No. 32/2021 (inspeksi dan keselamatan instalasi, ditetapkan 12 November 2021), serta No. 7/2026 (standar izin usaha, berlaku 12 Juni 2026).</w:t>
      </w:r>
    </w:p>
    <w:p>
      <w:pPr>
        <w:pStyle w:val="Compact"/>
        <w:numPr>
          <w:ilvl w:val="0"/>
          <w:numId w:val="1001"/>
        </w:numPr>
      </w:pPr>
      <w:r>
        <w:rPr>
          <w:b/>
          <w:bCs/>
        </w:rPr>
        <w:t xml:space="preserve">Keputusan Menteri ESDM:</w:t>
      </w:r>
      <w:r>
        <w:t xml:space="preserve"> </w:t>
      </w:r>
      <w:r>
        <w:t xml:space="preserve">Kepmen ESDM No. 91.K/2023 jo. No. 76.K/2025 tentang Harga Gas Bumi Tertentu (HGBT).</w:t>
      </w:r>
    </w:p>
    <w:p>
      <w:pPr>
        <w:pStyle w:val="Compact"/>
        <w:numPr>
          <w:ilvl w:val="0"/>
          <w:numId w:val="1001"/>
        </w:numPr>
      </w:pPr>
      <w:r>
        <w:rPr>
          <w:b/>
          <w:bCs/>
        </w:rPr>
        <w:t xml:space="preserve">Aturan lintas lembaga:</w:t>
      </w:r>
      <w:r>
        <w:t xml:space="preserve"> </w:t>
      </w:r>
      <w:r>
        <w:t xml:space="preserve">PM Perhubungan No. 39/2012 (kelaikan kendaraan ber-CNG) dan Peraturan BPH Migas No. 3/2024 (pemanfaatan bersama fasilitas pengangkutan gas pipa).</w:t>
      </w:r>
    </w:p>
    <w:p>
      <w:pPr>
        <w:pStyle w:val="FirstParagraph"/>
      </w:pPr>
      <w:r>
        <w:rPr>
          <w:i/>
          <w:iCs/>
        </w:rPr>
        <w:t xml:space="preserve">[Image 02: Garis waktu horizontal regulasi CNG bertingkat: UU No. 22/2001, Permen ESDM 25/2017, Permen ESDM 32/2021, Kepmen HGBT 91.K/2023, 76.K/2025, Permen ESDM 7/2026, lalu</w:t>
      </w:r>
      <w:r>
        <w:rPr>
          <w:i/>
          <w:iCs/>
        </w:rPr>
        <w:t xml:space="preserve"> </w:t>
      </w:r>
      <w:r>
        <w:rPr>
          <w:i/>
          <w:iCs/>
        </w:rPr>
        <w:t xml:space="preserve">“uji coba CNG 3 kg 2026”</w:t>
      </w:r>
      <w:r>
        <w:rPr>
          <w:i/>
          <w:iCs/>
        </w:rPr>
        <w:t xml:space="preserve"> </w:t>
      </w:r>
      <w:r>
        <w:rPr>
          <w:i/>
          <w:iCs/>
        </w:rPr>
        <w:t xml:space="preserve">ditandai ikon</w:t>
      </w:r>
      <w:r>
        <w:rPr>
          <w:i/>
          <w:iCs/>
        </w:rPr>
        <w:t xml:space="preserve"> </w:t>
      </w:r>
      <w:r>
        <w:rPr>
          <w:i/>
          <w:iCs/>
        </w:rPr>
        <w:t xml:space="preserve">“sedang berjalan”</w:t>
      </w:r>
      <w:r>
        <w:rPr>
          <w:i/>
          <w:iCs/>
        </w:rPr>
        <w:t xml:space="preserve"> </w:t>
      </w:r>
      <w:r>
        <w:rPr>
          <w:i/>
          <w:iCs/>
        </w:rPr>
        <w:t xml:space="preserve">agar tak terbaca sebagai regulasi tetap. Warna progresif abu ke hijau, teks Bahasa Indonesia. Alt: linimasa perkembangan regulasi CNG di Indonesia]</w:t>
      </w:r>
    </w:p>
    <w:p>
      <w:pPr>
        <w:pStyle w:val="BodyText"/>
      </w:pPr>
      <w:r>
        <w:t xml:space="preserve">Untuk meniagakan dan mengangkut CNG, sebuah badan usaha wajib mengantongi izin usaha berbasis risiko lewat sistem</w:t>
      </w:r>
      <w:r>
        <w:t xml:space="preserve"> </w:t>
      </w:r>
      <w:r>
        <w:rPr>
          <w:i/>
          <w:iCs/>
        </w:rPr>
        <w:t xml:space="preserve">Online Single Submission</w:t>
      </w:r>
      <w:r>
        <w:t xml:space="preserve"> </w:t>
      </w:r>
      <w:r>
        <w:t xml:space="preserve">(OSS), mengikuti standar Permen ESDM No. 7 Tahun 2026. Izin inilah yang memisahkan penyelenggara resmi dari operasi abu-abu, sekaligus menjadi dasar pengawasan keselamatan di kemudian hari.</w:t>
      </w:r>
    </w:p>
    <w:bookmarkEnd w:id="21"/>
    <w:bookmarkStart w:id="26" w:name="X3a9b5efe2feea11ee0f4d570d0212ed25805ce2"/>
    <w:p>
      <w:pPr>
        <w:pStyle w:val="Heading2"/>
      </w:pPr>
      <w:r>
        <w:t xml:space="preserve">HGBT, Konversi, dan Jargas: Ke Mana Arah Kebijakan CNG?</w:t>
      </w:r>
    </w:p>
    <w:p>
      <w:pPr>
        <w:pStyle w:val="FirstParagraph"/>
      </w:pPr>
      <w:r>
        <w:t xml:space="preserve">Arah kebijakan bergerak ke dua tujuan: menekan biaya energi industri lewat skema Harga Gas Bumi Tertentu (HGBT), dan memperluas pemakaian gas bumi menggantikan BBM serta LPG. Jalurnya mencakup konversi transportasi, perluasan jaringan gas kota (jargas), dan rencana substitusi LPG dengan CNG yang sedang disiapkan pemerintah.</w:t>
      </w:r>
    </w:p>
    <w:p>
      <w:pPr>
        <w:pStyle w:val="BodyText"/>
      </w:pPr>
      <w:r>
        <w:t xml:space="preserve">HGBT kerap disalahpahami sebagai gas murah untuk semua industri; cakupannya justru sempit. Menurut</w:t>
      </w:r>
      <w:r>
        <w:t xml:space="preserve"> </w:t>
      </w:r>
      <w:hyperlink r:id="rId22">
        <w:r>
          <w:rPr>
            <w:rStyle w:val="Hyperlink"/>
          </w:rPr>
          <w:t xml:space="preserve">Kementerian ESDM</w:t>
        </w:r>
      </w:hyperlink>
      <w:r>
        <w:t xml:space="preserve"> </w:t>
      </w:r>
      <w:r>
        <w:t xml:space="preserve">(Februari 2025), lewat Kepmen ESDM No. 76.K/2025 (perubahan kedua atas Kepmen No. 91.K/2023), skema ini hanya berlaku untuk tujuh sektor industri dan mencakup 253 perusahaan. CNG ritel dan transportasi tidak termasuk.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Pemanfaatan gas bumi</w:t>
            </w:r>
          </w:p>
        </w:tc>
        <w:tc>
          <w:tcPr/>
          <w:p>
            <w:pPr>
              <w:pStyle w:val="Compact"/>
            </w:pPr>
            <w:r>
              <w:t xml:space="preserve">Harga</w:t>
            </w:r>
          </w:p>
        </w:tc>
        <w:tc>
          <w:tcPr/>
          <w:p>
            <w:pPr>
              <w:pStyle w:val="Compact"/>
            </w:pPr>
            <w:r>
              <w:t xml:space="preserve">Cakupan</w:t>
            </w:r>
          </w:p>
        </w:tc>
      </w:tr>
      <w:tr>
        <w:tc>
          <w:tcPr/>
          <w:p>
            <w:pPr>
              <w:pStyle w:val="Compact"/>
            </w:pPr>
            <w:r>
              <w:t xml:space="preserve">Bahan bakar</w:t>
            </w:r>
          </w:p>
        </w:tc>
        <w:tc>
          <w:tcPr/>
          <w:p>
            <w:pPr>
              <w:pStyle w:val="Compact"/>
            </w:pPr>
            <w:r>
              <w:t xml:space="preserve">USD 7 per MMBTU</w:t>
            </w:r>
          </w:p>
        </w:tc>
        <w:tc>
          <w:tcPr/>
          <w:p>
            <w:pPr>
              <w:pStyle w:val="Compact"/>
            </w:pPr>
            <w:r>
              <w:t xml:space="preserve">7 sektor industri, total 253 perusahaan</w:t>
            </w:r>
          </w:p>
        </w:tc>
      </w:tr>
      <w:tr>
        <w:tc>
          <w:tcPr/>
          <w:p>
            <w:pPr>
              <w:pStyle w:val="Compact"/>
            </w:pPr>
            <w:r>
              <w:t xml:space="preserve">Bahan baku</w:t>
            </w:r>
          </w:p>
        </w:tc>
        <w:tc>
          <w:tcPr/>
          <w:p>
            <w:pPr>
              <w:pStyle w:val="Compact"/>
            </w:pPr>
            <w:r>
              <w:t xml:space="preserve">USD 6,5 per MMBTU</w:t>
            </w:r>
          </w:p>
        </w:tc>
        <w:tc>
          <w:tcPr/>
          <w:p>
            <w:pPr>
              <w:pStyle w:val="Compact"/>
            </w:pPr>
            <w:r>
              <w:t xml:space="preserve">Sektor yang sama, sesuai jenis pemanfaatan</w:t>
            </w:r>
          </w:p>
        </w:tc>
      </w:tr>
    </w:tbl>
    <w:p>
      <w:pPr>
        <w:pStyle w:val="BodyText"/>
      </w:pPr>
      <w:r>
        <w:t xml:space="preserve">Di sisi permintaan, pemerintah mendorong perpindahan dari bahan bakar minyak (BBM) ke Bahan Bakar Gas (BBG).</w:t>
      </w:r>
      <w:r>
        <w:t xml:space="preserve"> </w:t>
      </w:r>
      <w:hyperlink r:id="rId23">
        <w:r>
          <w:rPr>
            <w:rStyle w:val="Hyperlink"/>
          </w:rPr>
          <w:t xml:space="preserve">Program konversi BBM ke BBG di sektor transportasi</w:t>
        </w:r>
      </w:hyperlink>
      <w:r>
        <w:t xml:space="preserve"> </w:t>
      </w:r>
      <w:r>
        <w:t xml:space="preserve">berpayung Permen ESDM No. 25/2017 dan berjalan bertahap. Untuk rumah tangga, Ditjen Migas menargetkan 115.264 sambungan jargas baru pada TA 2025-2026 di 15 kabupaten/kota, dengan rencana tambahan sekitar satu juta sambungan pada tahap berikutnya (Ditjen Migas, September 2025).</w:t>
      </w:r>
    </w:p>
    <w:p>
      <w:pPr>
        <w:pStyle w:val="BodyText"/>
      </w:pPr>
      <w:r>
        <w:t xml:space="preserve">Isu terpanas sepanjang 2026 adalah substitusi LPG. Pada 6 Mei 2026,</w:t>
      </w:r>
      <w:r>
        <w:t xml:space="preserve"> </w:t>
      </w:r>
      <w:hyperlink r:id="rId24">
        <w:r>
          <w:rPr>
            <w:rStyle w:val="Hyperlink"/>
          </w:rPr>
          <w:t xml:space="preserve">Ditjen Migas menyiapkan roadmap</w:t>
        </w:r>
      </w:hyperlink>
      <w:r>
        <w:t xml:space="preserve"> </w:t>
      </w:r>
      <w:r>
        <w:t xml:space="preserve">mengganti sebagian LPG, termasuk LPG 3 kg bersubsidi, dengan CNG dan</w:t>
      </w:r>
      <w:r>
        <w:t xml:space="preserve"> </w:t>
      </w:r>
      <w:hyperlink r:id="rId25">
        <w:r>
          <w:rPr>
            <w:rStyle w:val="Hyperlink"/>
          </w:rPr>
          <w:t xml:space="preserve">LNG dalam kebijakan gas nasional</w:t>
        </w:r>
      </w:hyperlink>
      <w:r>
        <w:t xml:space="preserve">. Salah satu turunannya adalah rencana tabung CNG 3 kg</w:t>
      </w:r>
      <w:r>
        <w:t xml:space="preserve"> </w:t>
      </w:r>
      <w:r>
        <w:t xml:space="preserve">“Merah Putih”</w:t>
      </w:r>
      <w:r>
        <w:t xml:space="preserve">. Menteri ESDM Bahlil Lahadalia menargetkan produksinya mulai Juli 2026 dan mengklaim harga 30-40% lebih murah dari LPG. Namun perlu jujur soal statusnya: per akhir September 2026 program ini masih diujicobakan lewat Lemigas, dan belum ada Kepmen atau Permen yang meresmikannya sebagai kebijakan nasional.</w:t>
      </w:r>
    </w:p>
    <w:bookmarkEnd w:id="26"/>
    <w:bookmarkStart w:id="27" w:name="Xa98795cd9801bcb9142fda531b399d058b231d2"/>
    <w:p>
      <w:pPr>
        <w:pStyle w:val="Heading2"/>
      </w:pPr>
      <w:r>
        <w:t xml:space="preserve">Yang Jarang Dibahas: Kesenjangan antara Aturan dan Pelaksanaan</w:t>
      </w:r>
    </w:p>
    <w:p>
      <w:pPr>
        <w:pStyle w:val="FirstParagraph"/>
      </w:pPr>
      <w:r>
        <w:t xml:space="preserve">“Sudah diatur”</w:t>
      </w:r>
      <w:r>
        <w:t xml:space="preserve"> </w:t>
      </w:r>
      <w:r>
        <w:t xml:space="preserve">tidak sama dengan</w:t>
      </w:r>
      <w:r>
        <w:t xml:space="preserve"> </w:t>
      </w:r>
      <w:r>
        <w:t xml:space="preserve">“sudah berjalan masif”</w:t>
      </w:r>
      <w:r>
        <w:t xml:space="preserve">. Payung hukum konversi BBM ke BBG sudah berusia lebih dari satu dekade, tetapi adopsinya lambat. Menurut lembaga riset energi IESR, program ini berjalan</w:t>
      </w:r>
      <w:r>
        <w:t xml:space="preserve"> </w:t>
      </w:r>
      <w:r>
        <w:t xml:space="preserve">“setengah hati”</w:t>
      </w:r>
      <w:r>
        <w:t xml:space="preserve">, terganjal biaya</w:t>
      </w:r>
      <w:r>
        <w:t xml:space="preserve"> </w:t>
      </w:r>
      <w:r>
        <w:rPr>
          <w:i/>
          <w:iCs/>
        </w:rPr>
        <w:t xml:space="preserve">converter kit</w:t>
      </w:r>
      <w:r>
        <w:t xml:space="preserve"> </w:t>
      </w:r>
      <w:r>
        <w:t xml:space="preserve">yang mahal dan infrastruktur SPBG yang terbatas.</w:t>
      </w:r>
    </w:p>
    <w:p>
      <w:pPr>
        <w:pStyle w:val="BodyText"/>
      </w:pPr>
      <w:r>
        <w:t xml:space="preserve">Fabby Tumiwa dari IESR menyebut biaya converter kit BBG berkisar Rp15-20 juta per kendaraan, beban berat bagi pemilik kendaraan pribadi tanpa subsidi. Pola serupa muncul di sisi kebijakan harga: aturan berubah cepat. HGBT saja telah direvisi tiga kali sejak 2021 (Kepmen 134.K/2021, 91.K/2023, lalu 76.K/2025). Beberapa hal yang membuat aturan tak segera jadi kenyataan:</w:t>
      </w:r>
    </w:p>
    <w:p>
      <w:pPr>
        <w:pStyle w:val="Compact"/>
        <w:numPr>
          <w:ilvl w:val="0"/>
          <w:numId w:val="1002"/>
        </w:numPr>
      </w:pPr>
      <w:r>
        <w:rPr>
          <w:b/>
          <w:bCs/>
        </w:rPr>
        <w:t xml:space="preserve">Biaya awal tinggi:</w:t>
      </w:r>
      <w:r>
        <w:t xml:space="preserve"> </w:t>
      </w:r>
      <w:r>
        <w:t xml:space="preserve">converter kit dan konversi armada butuh modal di depan yang sering tak tertutup subsidi.</w:t>
      </w:r>
    </w:p>
    <w:p>
      <w:pPr>
        <w:pStyle w:val="Compact"/>
        <w:numPr>
          <w:ilvl w:val="0"/>
          <w:numId w:val="1002"/>
        </w:numPr>
      </w:pPr>
      <w:r>
        <w:rPr>
          <w:b/>
          <w:bCs/>
        </w:rPr>
        <w:t xml:space="preserve">Infrastruktur belum merata:</w:t>
      </w:r>
      <w:r>
        <w:t xml:space="preserve"> </w:t>
      </w:r>
      <w:r>
        <w:t xml:space="preserve">titik pengisian gas masih terbatas di luar kota besar.</w:t>
      </w:r>
    </w:p>
    <w:p>
      <w:pPr>
        <w:pStyle w:val="Compact"/>
        <w:numPr>
          <w:ilvl w:val="0"/>
          <w:numId w:val="1002"/>
        </w:numPr>
      </w:pPr>
      <w:r>
        <w:rPr>
          <w:b/>
          <w:bCs/>
        </w:rPr>
        <w:t xml:space="preserve">Harga dan subsidi berubah:</w:t>
      </w:r>
      <w:r>
        <w:t xml:space="preserve"> </w:t>
      </w:r>
      <w:r>
        <w:t xml:space="preserve">revisi berkala menyulitkan proyeksi biaya jangka panjang.</w:t>
      </w:r>
    </w:p>
    <w:p>
      <w:pPr>
        <w:pStyle w:val="FirstParagraph"/>
      </w:pPr>
      <w:r>
        <w:t xml:space="preserve">Bagi pengambil keputusan, ini bukan alasan mengabaikan gas bumi, melainkan alasan membaca regulasi dengan mata terbuka: berpijak pada aturan yang sudah berlaku, bukan program yang masih diujicobakan.</w:t>
      </w:r>
    </w:p>
    <w:bookmarkEnd w:id="27"/>
    <w:bookmarkStart w:id="34" w:name="faq-pertanyaan-yang-sering-diajukan"/>
    <w:p>
      <w:pPr>
        <w:pStyle w:val="Heading2"/>
      </w:pPr>
      <w:r>
        <w:t xml:space="preserve">FAQ (Pertanyaan yang Sering Diajukan)</w:t>
      </w:r>
    </w:p>
    <w:bookmarkStart w:id="28" w:name="X06741a5887a14615cc9687e168ab0901f96823b"/>
    <w:p>
      <w:pPr>
        <w:pStyle w:val="Heading3"/>
      </w:pPr>
      <w:r>
        <w:t xml:space="preserve">Apa undang-undang utama yang mengatur gas bumi dan CNG di Indonesia?</w:t>
      </w:r>
    </w:p>
    <w:p>
      <w:pPr>
        <w:pStyle w:val="FirstParagraph"/>
      </w:pPr>
      <w:r>
        <w:t xml:space="preserve">Payung hukumnya UU No. 22 Tahun 2001 tentang Minyak dan Gas Bumi, yang mengatur kegiatan usaha hulu maupun hilir, termasuk niaga dan distribusi CNG. UU ini telah diubah lewat UU No. 11 Tahun 2020 dan UU No. 6 Tahun 2023, tetapi kerangka dasarnya tetap berlaku.</w:t>
      </w:r>
    </w:p>
    <w:bookmarkEnd w:id="28"/>
    <w:bookmarkStart w:id="29" w:name="Xb8f024e9892b4e48bad7f964482b6c8af3d62bf"/>
    <w:p>
      <w:pPr>
        <w:pStyle w:val="Heading3"/>
      </w:pPr>
      <w:r>
        <w:t xml:space="preserve">Apa perbedaan peran Kementerian ESDM, BPH Migas, dan SKK Migas?</w:t>
      </w:r>
    </w:p>
    <w:p>
      <w:pPr>
        <w:pStyle w:val="FirstParagraph"/>
      </w:pPr>
      <w:r>
        <w:t xml:space="preserve">Kementerian ESDM merumuskan kebijakan dan regulasi teknis nasional. BPH Migas mengatur niaga serta pengangkutan gas bumi melalui pipa di hilir, termasuk tarif dan harga gas rumah tangga. SKK Migas, dibentuk lewat Perpres No. 9 Tahun 2013, mengawasi kegiatan usaha hulu, bukan niaga CNG.</w:t>
      </w:r>
    </w:p>
    <w:bookmarkEnd w:id="29"/>
    <w:bookmarkStart w:id="30" w:name="X6cee332172df36b90de2ab77d2a894166998155"/>
    <w:p>
      <w:pPr>
        <w:pStyle w:val="Heading3"/>
      </w:pPr>
      <w:r>
        <w:t xml:space="preserve">Apakah usaha niaga dan pengangkutan CNG memerlukan izin khusus?</w:t>
      </w:r>
    </w:p>
    <w:p>
      <w:pPr>
        <w:pStyle w:val="FirstParagraph"/>
      </w:pPr>
      <w:r>
        <w:t xml:space="preserve">Ya. Badan usaha yang meniagakan dan mengangkut gas bumi, termasuk CNG, wajib memiliki izin usaha berbasis risiko yang diproses lewat sistem OSS. Standar kegiatan usahanya kini mengikuti Permen ESDM No. 7 Tahun 2026, yang berlaku sejak 12 Juni 2026 dan menggantikan aturan sejenis dari 2021.</w:t>
      </w:r>
    </w:p>
    <w:bookmarkEnd w:id="30"/>
    <w:bookmarkStart w:id="31" w:name="X328bd8d8f58082dccc645cd1663ebafe8a2bfda"/>
    <w:p>
      <w:pPr>
        <w:pStyle w:val="Heading3"/>
      </w:pPr>
      <w:r>
        <w:t xml:space="preserve">Apa itu HGBT dan sektor apa saja yang berhak menerimanya?</w:t>
      </w:r>
    </w:p>
    <w:p>
      <w:pPr>
        <w:pStyle w:val="FirstParagraph"/>
      </w:pPr>
      <w:r>
        <w:t xml:space="preserve">Harga Gas Bumi Tertentu (HGBT) adalah skema harga gas khusus agar biaya energi industri tertentu lebih kompetitif. Per Kepmen ESDM No. 76.K/2025, HGBT berlaku untuk tujuh sektor (pupuk, petrokimia, oleochemical, baja, keramik, kaca, sarung tangan karet), mencakup 253 perusahaan, dengan harga USD 7 per MMBTU untuk bahan bakar.</w:t>
      </w:r>
    </w:p>
    <w:bookmarkEnd w:id="31"/>
    <w:bookmarkStart w:id="32" w:name="X0df4c87bce69c471646dfd2adf5270991eaa7da"/>
    <w:p>
      <w:pPr>
        <w:pStyle w:val="Heading3"/>
      </w:pPr>
      <w:r>
        <w:t xml:space="preserve">Apakah harga CNG untuk konsumen diatur pemerintah?</w:t>
      </w:r>
    </w:p>
    <w:p>
      <w:pPr>
        <w:pStyle w:val="FirstParagraph"/>
      </w:pPr>
      <w:r>
        <w:t xml:space="preserve">Sebagian, tergantung segmen. Untuk gas bumi rumah tangga dan pelanggan kecil lewat pipa, harganya ditetapkan BPH Migas. Untuk tujuh sektor industri tertentu, harga mengikuti skema HGBT (USD 7 per MMBTU untuk bahan bakar per 2025). Di luar keduanya, termasuk kebanyakan niaga CNG beyond-pipeline, harga umumnya mengikuti kontrak antara badan usaha niaga dan pelanggan, dalam koridor pengawasan ESDM dan BPH Migas.</w:t>
      </w:r>
    </w:p>
    <w:bookmarkEnd w:id="32"/>
    <w:bookmarkStart w:id="33" w:name="X88171d9814a8ca747b46d6575ffea22623eefb4"/>
    <w:p>
      <w:pPr>
        <w:pStyle w:val="Heading3"/>
      </w:pPr>
      <w:r>
        <w:t xml:space="preserve">Bagaimana status terbaru rencana CNG 3 kg pengganti LPG bersubsidi?</w:t>
      </w:r>
    </w:p>
    <w:p>
      <w:pPr>
        <w:pStyle w:val="FirstParagraph"/>
      </w:pPr>
      <w:r>
        <w:t xml:space="preserve">Per akhir September 2026, rencana ini masih tahap uji coba dan belum menjadi kebijakan nasional yang resmi. Menteri ESDM menargetkan produksi tabung CNG 3 kg</w:t>
      </w:r>
      <w:r>
        <w:t xml:space="preserve"> </w:t>
      </w:r>
      <w:r>
        <w:t xml:space="preserve">“Merah Putih”</w:t>
      </w:r>
      <w:r>
        <w:t xml:space="preserve"> </w:t>
      </w:r>
      <w:r>
        <w:t xml:space="preserve">mulai Juli 2026 dengan klaim harga 30-40% lebih murah dari LPG. Uji coba ke pengguna berlangsung lewat Lemigas sebelum kota percontohan ditentukan.</w:t>
      </w:r>
    </w:p>
    <w:bookmarkEnd w:id="33"/>
    <w:bookmarkEnd w:id="34"/>
    <w:bookmarkStart w:id="35" w:name="kesimpulan"/>
    <w:p>
      <w:pPr>
        <w:pStyle w:val="Heading2"/>
      </w:pPr>
      <w:r>
        <w:t xml:space="preserve">Kesimpulan</w:t>
      </w:r>
    </w:p>
    <w:p>
      <w:pPr>
        <w:pStyle w:val="FirstParagraph"/>
      </w:pPr>
      <w:r>
        <w:t xml:space="preserve">Kembali ke pertanyaan pembuka: legalitas dan arah kebijakan adalah fondasi kelayakan proyek gas, bukan lampiran administratif. Memahami siapa regulatornya, aturan mana yang sudah berlaku, dan mana yang masih rencana membantu perusahaan menilai risiko sebelum berkomitmen. Sebagai anak usaha PGN yang merupakan bagian dari Subholding Gas Pertamina, PGN Gagas menyalurkan gas bumi ke pelanggan di luar jangkauan pipa lewat solusi CNG, dan beroperasi sebagai badan usaha niaga berizin bersertifikasi ISO 9001:2015, ISO 45001:2018, serta ISO 37001:2016 (2025). Posisinya berada di dalam rezim yang dibahas artikel ini, bukan mengaturnya.</w:t>
      </w:r>
    </w:p>
    <w:p>
      <w:pPr>
        <w:pStyle w:val="BodyText"/>
      </w:pPr>
      <w:r>
        <w:t xml:space="preserve">Untuk mendiskusikan pilihan pasokan gas bumi dan CNG yang sesuai kebutuhan operasi Anda, kunjungi gagas.co.id.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gagas.co.id/gasku/" TargetMode="External" /><Relationship Type="http://schemas.openxmlformats.org/officeDocument/2006/relationships/hyperlink" Id="rId17" Target="https://gagas.co.id/perusahaan-cng-indonesia/" TargetMode="External" /><Relationship Type="http://schemas.openxmlformats.org/officeDocument/2006/relationships/hyperlink" Id="rId25" Target="https://gagas.co.id/perusahaan-lng-indonesia/" TargetMode="External" /><Relationship Type="http://schemas.openxmlformats.org/officeDocument/2006/relationships/hyperlink" Id="rId24" Target="https://migas.esdm.go.id/post/Pemerintah-Siapkan-Roadmap-Konversi-ke-CNG-Guna-Kurangi-Beban-Subsidi-LPG" TargetMode="External" /><Relationship Type="http://schemas.openxmlformats.org/officeDocument/2006/relationships/hyperlink" Id="rId19" Target="https://www.bphmigas.go.id/fungsi-dan-tugas/" TargetMode="External" /><Relationship Type="http://schemas.openxmlformats.org/officeDocument/2006/relationships/hyperlink" Id="rId22" Target="https://www.esdm.go.id/id/media-center/arsip-berita/skema-baru-hgbt-perkuat-daya-saing-industri-dan-efisiensi-anggaran-negara" TargetMode="External" /></Relationships>
</file>

<file path=word/_rels/footnotes.xml.rels><?xml version="1.0" encoding="UTF-8"?><Relationships xmlns="http://schemas.openxmlformats.org/package/2006/relationships"><Relationship Type="http://schemas.openxmlformats.org/officeDocument/2006/relationships/hyperlink" Id="rId23" Target="https://gagas.co.id/gasku/" TargetMode="External" /><Relationship Type="http://schemas.openxmlformats.org/officeDocument/2006/relationships/hyperlink" Id="rId17" Target="https://gagas.co.id/perusahaan-cng-indonesia/" TargetMode="External" /><Relationship Type="http://schemas.openxmlformats.org/officeDocument/2006/relationships/hyperlink" Id="rId25" Target="https://gagas.co.id/perusahaan-lng-indonesia/" TargetMode="External" /><Relationship Type="http://schemas.openxmlformats.org/officeDocument/2006/relationships/hyperlink" Id="rId24" Target="https://migas.esdm.go.id/post/Pemerintah-Siapkan-Roadmap-Konversi-ke-CNG-Guna-Kurangi-Beban-Subsidi-LPG" TargetMode="External" /><Relationship Type="http://schemas.openxmlformats.org/officeDocument/2006/relationships/hyperlink" Id="rId19" Target="https://www.bphmigas.go.id/fungsi-dan-tugas/" TargetMode="External" /><Relationship Type="http://schemas.openxmlformats.org/officeDocument/2006/relationships/hyperlink" Id="rId22" Target="https://www.esdm.go.id/id/media-center/arsip-berita/skema-baru-hgbt-perkuat-daya-saing-industri-dan-efisiensi-anggaran-nega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2026-09-28T13:11:01Z</dcterms:created>
  <dcterms:modified xsi:type="dcterms:W3CDTF">2026-09-28T13:11:01Z</dcterms:modified>
</cp:coreProperties>
</file>

<file path=docProps/custom.xml><?xml version="1.0" encoding="utf-8"?>
<Properties xmlns="http://schemas.openxmlformats.org/officeDocument/2006/custom-properties" xmlns:vt="http://schemas.openxmlformats.org/officeDocument/2006/docPropsVTypes"/>
</file>