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"Harga CNG Wajar atau Kemahalan? Cara Benchmark &amp; Negosiasi Penyedia"</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Benchmark Harga &amp; Cara Negosiasi"</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menilai kewajaran harga dari perusahaan CNG di Indonesia: benchmark ke HGBT dan harga gas 2026, bongkar komponen harga, dan lever negosiasi kontrak."</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"perusahaan-cng-indonesia-benchmark-harga-negosiasi"</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"harga CNG per MMBTU"</w:t>
      </w:r>
      <w:r>
        <w:rPr>
          <w:rStyle w:val="KeywordTok"/>
        </w:rPr>
        <w:t xml:space="preserve">,</w:t>
      </w:r>
      <w:r>
        <w:rPr>
          <w:rStyle w:val="AttributeTok"/>
        </w:rPr>
        <w:t xml:space="preserve"> </w:t>
      </w:r>
      <w:r>
        <w:rPr>
          <w:rStyle w:val="StringTok"/>
        </w:rPr>
        <w:t xml:space="preserve">"benchmark harga gas industri"</w:t>
      </w:r>
      <w:r>
        <w:rPr>
          <w:rStyle w:val="KeywordTok"/>
        </w:rPr>
        <w:t xml:space="preserve">,</w:t>
      </w:r>
      <w:r>
        <w:rPr>
          <w:rStyle w:val="AttributeTok"/>
        </w:rPr>
        <w:t xml:space="preserve"> </w:t>
      </w:r>
      <w:r>
        <w:rPr>
          <w:rStyle w:val="StringTok"/>
        </w:rPr>
        <w:t xml:space="preserve">"HGBT"</w:t>
      </w:r>
      <w:r>
        <w:rPr>
          <w:rStyle w:val="KeywordTok"/>
        </w:rPr>
        <w:t xml:space="preserve">,</w:t>
      </w:r>
      <w:r>
        <w:rPr>
          <w:rStyle w:val="AttributeTok"/>
        </w:rPr>
        <w:t xml:space="preserve"> </w:t>
      </w:r>
      <w:r>
        <w:rPr>
          <w:rStyle w:val="StringTok"/>
        </w:rPr>
        <w:t xml:space="preserve">"harga gas non-HGBT"</w:t>
      </w:r>
      <w:r>
        <w:rPr>
          <w:rStyle w:val="KeywordTok"/>
        </w:rPr>
        <w:t xml:space="preserve">,</w:t>
      </w:r>
      <w:r>
        <w:rPr>
          <w:rStyle w:val="AttributeTok"/>
        </w:rPr>
        <w:t xml:space="preserve"> </w:t>
      </w:r>
      <w:r>
        <w:rPr>
          <w:rStyle w:val="StringTok"/>
        </w:rPr>
        <w:t xml:space="preserve">"harga gas industri 2026"</w:t>
      </w:r>
      <w:r>
        <w:rPr>
          <w:rStyle w:val="KeywordTok"/>
        </w:rPr>
        <w:t xml:space="preserve">,</w:t>
      </w:r>
      <w:r>
        <w:rPr>
          <w:rStyle w:val="AttributeTok"/>
        </w:rPr>
        <w:t xml:space="preserve"> </w:t>
      </w:r>
      <w:r>
        <w:rPr>
          <w:rStyle w:val="StringTok"/>
        </w:rPr>
        <w:t xml:space="preserve">"negosiasi kontrak pasokan gas"</w:t>
      </w:r>
      <w:r>
        <w:rPr>
          <w:rStyle w:val="KeywordTok"/>
        </w:rPr>
        <w:t xml:space="preserve">,</w:t>
      </w:r>
      <w:r>
        <w:rPr>
          <w:rStyle w:val="AttributeTok"/>
        </w:rPr>
        <w:t xml:space="preserve"> </w:t>
      </w:r>
      <w:r>
        <w:rPr>
          <w:rStyle w:val="StringTok"/>
        </w:rPr>
        <w:t xml:space="preserve">"take-or-pay"</w:t>
      </w:r>
      <w:r>
        <w:rPr>
          <w:rStyle w:val="KeywordTok"/>
        </w:rPr>
        <w:t xml:space="preserve">,</w:t>
      </w:r>
      <w:r>
        <w:rPr>
          <w:rStyle w:val="AttributeTok"/>
        </w:rPr>
        <w:t xml:space="preserve"> </w:t>
      </w:r>
      <w:r>
        <w:rPr>
          <w:rStyle w:val="StringTok"/>
        </w:rPr>
        <w:t xml:space="preserve">"struktur harga CNG"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Gaslink untuk industri &amp;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 untuk volume besar"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"Skema &amp; angka HGBT US$6,5/US$7 per MMBTU untuk 7 sektor/253 pengguna terdaftar"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"https://industri.kontan.co.id/news/evaluasi-harga-gas-industri-hgbt-dan-gas-pipa-tetap-lng-turun-ke-us-13-per-mmbtu"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"Tiga kategori harga gas industri 2026; gas pipa non-HGBT ~US$9,6 &amp; LNG non-HGBT US$13/MMBTU"</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"2026-09-28"</w:t>
      </w:r>
      <w:r>
        <w:br/>
      </w:r>
      <w:r>
        <w:rPr>
          <w:rStyle w:val="FunctionTok"/>
        </w:rPr>
        <w:t xml:space="preserve">word_count</w:t>
      </w:r>
      <w:r>
        <w:rPr>
          <w:rStyle w:val="KeywordTok"/>
        </w:rPr>
        <w:t xml:space="preserve">:</w:t>
      </w:r>
      <w:r>
        <w:rPr>
          <w:rStyle w:val="AttributeTok"/>
        </w:rPr>
        <w:t xml:space="preserve"> </w:t>
      </w:r>
      <w:r>
        <w:rPr>
          <w:rStyle w:val="DecValTok"/>
        </w:rPr>
        <w:t xml:space="preserve">1518</w:t>
      </w:r>
    </w:p>
    <w:p>
      <w:r>
        <w:pict>
          <v:rect style="width:0;height:1.5pt" o:hralign="center" o:hrstd="t" o:hr="t"/>
        </w:pict>
      </w:r>
    </w:p>
    <w:bookmarkEnd w:id="16"/>
    <w:bookmarkStart w:id="35" w:name="Xf8591152ff72db3eb0fd21b9eff312eeec7d93c"/>
    <w:p>
      <w:pPr>
        <w:pStyle w:val="Heading1"/>
      </w:pPr>
      <w:r>
        <w:t xml:space="preserve">Harga CNG Wajar atau Kemahalan? Cara Benchmark &amp; Negosiasi Penyedia</w:t>
      </w:r>
    </w:p>
    <w:p>
      <w:pPr>
        <w:pStyle w:val="FirstParagraph"/>
      </w:pPr>
      <w:r>
        <w:t xml:space="preserve">Seorang manajer procurement menerima tiga penawaran pasokan CNG (</w:t>
      </w:r>
      <w:r>
        <w:rPr>
          <w:i/>
          <w:iCs/>
        </w:rPr>
        <w:t xml:space="preserve">Compressed Natural Gas</w:t>
      </w:r>
      <w:r>
        <w:t xml:space="preserve">) dengan selisih harga yang membingungkan. Alat bandingnya cuma satu: mana yang paling murah per meter kubik. Itu jebakan. Harga gas hanyalah sebagian dari yang ia bayar, dan tanpa titik acuan publik, ia menawar dalam gelap. Padahal pilihannya kini banyak: tercatat 53 perusahaan pemegang izin niaga CNG per semester II-2025, naik dari 33 (Bloomberg Technoz, Mei 2026). Artikel ini memberi kerangka menilai kewajaran harga ketika Anda membandingkan penawaran dari berbagai</w:t>
      </w:r>
      <w:r>
        <w:t xml:space="preserve"> </w:t>
      </w:r>
      <w:hyperlink r:id="rId17">
        <w:r>
          <w:rPr>
            <w:rStyle w:val="Hyperlink"/>
          </w:rPr>
          <w:t xml:space="preserve">perusahaan CNG di Indonesia</w:t>
        </w:r>
      </w:hyperlink>
      <w:r>
        <w:t xml:space="preserve">, lalu menawar dengan dasar yang jelas.</w:t>
      </w:r>
    </w:p>
    <w:p>
      <w:pPr>
        <w:pStyle w:val="BlockText"/>
      </w:pPr>
      <w:r>
        <w:rPr>
          <w:b/>
          <w:bCs/>
        </w:rPr>
        <w:t xml:space="preserve">Ringkas:</w:t>
      </w:r>
      <w:r>
        <w:t xml:space="preserve"> </w:t>
      </w:r>
      <w:r>
        <w:t xml:space="preserve">Harga wajar pasokan CNG adalah harga penawaran yang komponennya transparan dan sebanding dengan acuan gas nasional, bukan sekadar angka termurah. Ia mencerminkan harga molekul gas (mengikuti skema HGBT, gas pipa non-HGBT, atau LNG (</w:t>
      </w:r>
      <w:r>
        <w:rPr>
          <w:i/>
          <w:iCs/>
        </w:rPr>
        <w:t xml:space="preserve">Liquefied Natural Gas</w:t>
      </w:r>
      <w:r>
        <w:t xml:space="preserve">) yang berlaku) ditambah biaya kompresi, transportasi via GTM, dan layanan di lokasi, sehingga bisa dibandingkan antar-penawaran secara objektif.</w:t>
      </w:r>
    </w:p>
    <w:p>
      <w:pPr>
        <w:pStyle w:val="FirstParagraph"/>
      </w:pPr>
      <w:r>
        <w:rPr>
          <w:i/>
          <w:iCs/>
        </w:rPr>
        <w:t xml:space="preserve">[Image 01: Ilustrasi split-screen flat korporat, biru-abu netral. Kiri: tiga kartu penawaran CNG berangka harga berbeda dengan tanda tanya. Kanan:</w:t>
      </w:r>
      <w:r>
        <w:rPr>
          <w:i/>
          <w:iCs/>
        </w:rPr>
        <w:t xml:space="preserve"> </w:t>
      </w:r>
      <w:r>
        <w:rPr>
          <w:i/>
          <w:iCs/>
        </w:rPr>
        <w:t xml:space="preserve">“penggaris acuan”</w:t>
      </w:r>
      <w:r>
        <w:rPr>
          <w:i/>
          <w:iCs/>
        </w:rPr>
        <w:t xml:space="preserve"> </w:t>
      </w:r>
      <w:r>
        <w:rPr>
          <w:i/>
          <w:iCs/>
        </w:rPr>
        <w:t xml:space="preserve">vertikal berlabel HGBT, gas pipa non-HGBT, dan LNG, dengan panah dari tiap kartu ke penggaris. Teks:</w:t>
      </w:r>
      <w:r>
        <w:rPr>
          <w:i/>
          <w:iCs/>
        </w:rPr>
        <w:t xml:space="preserve"> </w:t>
      </w:r>
      <w:r>
        <w:rPr>
          <w:i/>
          <w:iCs/>
        </w:rPr>
        <w:t xml:space="preserve">“Menilai kewajaran, bukan sekadar termurah”</w:t>
      </w:r>
      <w:r>
        <w:rPr>
          <w:i/>
          <w:iCs/>
        </w:rPr>
        <w:t xml:space="preserve">. alt: Ilustrasi membandingkan tiga penawaran perusahaan CNG terhadap acuan harga gas nasional.]</w:t>
      </w:r>
    </w:p>
    <w:bookmarkStart w:id="18" w:name="apa-itu-harga-wajar-untuk-pasokan-cng"/>
    <w:p>
      <w:pPr>
        <w:pStyle w:val="Heading2"/>
      </w:pPr>
      <w:r>
        <w:t xml:space="preserve">Apa Itu</w:t>
      </w:r>
      <w:r>
        <w:t xml:space="preserve"> </w:t>
      </w:r>
      <w:r>
        <w:t xml:space="preserve">“Harga Wajar”</w:t>
      </w:r>
      <w:r>
        <w:t xml:space="preserve"> </w:t>
      </w:r>
      <w:r>
        <w:t xml:space="preserve">untuk Pasokan CNG?</w:t>
      </w:r>
    </w:p>
    <w:p>
      <w:pPr>
        <w:pStyle w:val="FirstParagraph"/>
      </w:pPr>
      <w:r>
        <w:t xml:space="preserve">“Harga wajar”</w:t>
      </w:r>
      <w:r>
        <w:t xml:space="preserve"> </w:t>
      </w:r>
      <w:r>
        <w:t xml:space="preserve">berarti setiap komponen penawaran bisa dijelaskan dan disandingkan dengan acuan publik, bukan sekadar nominal paling rendah. Karena harga molekul gas sebagian besar ditetapkan pemerintah, ada</w:t>
      </w:r>
      <w:r>
        <w:t xml:space="preserve"> </w:t>
      </w:r>
      <w:r>
        <w:t xml:space="preserve">“lantai”</w:t>
      </w:r>
      <w:r>
        <w:t xml:space="preserve"> </w:t>
      </w:r>
      <w:r>
        <w:t xml:space="preserve">harga yang bisa dilacak; yang benar-benar membedakan antar-penawaran adalah lapisan biaya layanan di atasnya, yaitu kompresi, angkut, dan pelayanan sampai ke titik pakai Anda.</w:t>
      </w:r>
    </w:p>
    <w:p>
      <w:pPr>
        <w:pStyle w:val="BodyText"/>
      </w:pPr>
      <w:r>
        <w:t xml:space="preserve">Godaan terbesar dalam pengadaan energi adalah menyamakan</w:t>
      </w:r>
      <w:r>
        <w:t xml:space="preserve"> </w:t>
      </w:r>
      <w:r>
        <w:t xml:space="preserve">“murah”</w:t>
      </w:r>
      <w:r>
        <w:t xml:space="preserve"> </w:t>
      </w:r>
      <w:r>
        <w:t xml:space="preserve">dengan</w:t>
      </w:r>
      <w:r>
        <w:t xml:space="preserve"> </w:t>
      </w:r>
      <w:r>
        <w:t xml:space="preserve">“wajar”</w:t>
      </w:r>
      <w:r>
        <w:t xml:space="preserve">. Keduanya berbeda. Penawaran termurah kerap memangkas hal yang tak terlihat, entah komponen biaya yang disembunyikan atau keandalan pasok yang belum teruji, dan itu baru terasa saat kontrak sudah berjalan.</w:t>
      </w:r>
    </w:p>
    <w:p>
      <w:pPr>
        <w:pStyle w:val="BodyText"/>
      </w:pPr>
      <w:r>
        <w:t xml:space="preserve">Yang sering disalahpahami: CNG</w:t>
      </w:r>
      <w:r>
        <w:t xml:space="preserve"> </w:t>
      </w:r>
      <w:r>
        <w:rPr>
          <w:i/>
          <w:iCs/>
        </w:rPr>
        <w:t xml:space="preserve">beyond-pipeline</w:t>
      </w:r>
      <w:r>
        <w:t xml:space="preserve"> </w:t>
      </w:r>
      <w:r>
        <w:t xml:space="preserve">tidak punya satu</w:t>
      </w:r>
      <w:r>
        <w:t xml:space="preserve"> </w:t>
      </w:r>
      <w:r>
        <w:t xml:space="preserve">“harga resmi per MMBTU”</w:t>
      </w:r>
      <w:r>
        <w:t xml:space="preserve">. Angka yang Anda terima selalu bentukan dari harga molekul plus biaya layanan, jadi membandingkan hanya nominal akhir tanpa tahu komposisinya seperti menilai buku dari sampulnya.</w:t>
      </w:r>
    </w:p>
    <w:bookmarkEnd w:id="18"/>
    <w:bookmarkStart w:id="22" w:name="Xf4d1fe9632a202af2a11e38145ecb4ddd58f0f0"/>
    <w:p>
      <w:pPr>
        <w:pStyle w:val="Heading2"/>
      </w:pPr>
      <w:r>
        <w:t xml:space="preserve">Berapa Kisaran Harga Gas Industri di Indonesia Saat Ini?</w:t>
      </w:r>
    </w:p>
    <w:p>
      <w:pPr>
        <w:pStyle w:val="FirstParagraph"/>
      </w:pPr>
      <w:r>
        <w:t xml:space="preserve">Per 2026 pemerintah membagi harga gas industri menjadi tiga kelompok: HGBT (</w:t>
      </w:r>
      <w:r>
        <w:rPr>
          <w:i/>
          <w:iCs/>
        </w:rPr>
        <w:t xml:space="preserve">Harga Gas Bumi Tertentu</w:t>
      </w:r>
      <w:r>
        <w:t xml:space="preserve">) untuk tujuh sektor tertentu di kisaran US$6,5–7 per MMBTU (</w:t>
      </w:r>
      <w:r>
        <w:rPr>
          <w:i/>
          <w:iCs/>
        </w:rPr>
        <w:t xml:space="preserve">Million British Thermal Units</w:t>
      </w:r>
      <w:r>
        <w:t xml:space="preserve">, satuan energi gas), gas pipa non-HGBT rata-rata sekitar US$9,6/MMBTU, dan LNG non-HGBT US$13/MMBTU. Semua ini acuan molekul gas, bukan harga CNG final.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Skema harga molekul</w:t>
            </w:r>
          </w:p>
        </w:tc>
        <w:tc>
          <w:tcPr/>
          <w:p>
            <w:pPr>
              <w:pStyle w:val="Compact"/>
            </w:pPr>
            <w:r>
              <w:t xml:space="preserve">US$/MMBTU</w:t>
            </w:r>
          </w:p>
        </w:tc>
        <w:tc>
          <w:tcPr/>
          <w:p>
            <w:pPr>
              <w:pStyle w:val="Compact"/>
            </w:pPr>
            <w:r>
              <w:t xml:space="preserve">Untuk siapa &amp; catatan</w:t>
            </w:r>
          </w:p>
        </w:tc>
      </w:tr>
      <w:tr>
        <w:tc>
          <w:tcPr/>
          <w:p>
            <w:pPr>
              <w:pStyle w:val="Compact"/>
            </w:pPr>
            <w:r>
              <w:t xml:space="preserve">HGBT (bahan bakar)</w:t>
            </w:r>
          </w:p>
        </w:tc>
        <w:tc>
          <w:tcPr/>
          <w:p>
            <w:pPr>
              <w:pStyle w:val="Compact"/>
            </w:pPr>
            <w:r>
              <w:t xml:space="preserve">7</w:t>
            </w:r>
          </w:p>
        </w:tc>
        <w:tc>
          <w:tcPr/>
          <w:p>
            <w:pPr>
              <w:pStyle w:val="Compact"/>
            </w:pPr>
            <w:r>
              <w:t xml:space="preserve">7 sektor tertentu, 253 pengguna terdaftar (Kepmen ESDM 76.K/2025)</w:t>
            </w:r>
          </w:p>
        </w:tc>
      </w:tr>
      <w:tr>
        <w:tc>
          <w:tcPr/>
          <w:p>
            <w:pPr>
              <w:pStyle w:val="Compact"/>
            </w:pPr>
            <w:r>
              <w:t xml:space="preserve">HGBT (bahan baku)</w:t>
            </w:r>
          </w:p>
        </w:tc>
        <w:tc>
          <w:tcPr/>
          <w:p>
            <w:pPr>
              <w:pStyle w:val="Compact"/>
            </w:pPr>
            <w:r>
              <w:t xml:space="preserve">6,5</w:t>
            </w:r>
          </w:p>
        </w:tc>
        <w:tc>
          <w:tcPr/>
          <w:p>
            <w:pPr>
              <w:pStyle w:val="Compact"/>
            </w:pPr>
            <w:r>
              <w:t xml:space="preserve">Sama, untuk pemanfaatan sebagai bahan baku</w:t>
            </w:r>
          </w:p>
        </w:tc>
      </w:tr>
      <w:tr>
        <w:tc>
          <w:tcPr/>
          <w:p>
            <w:pPr>
              <w:pStyle w:val="Compact"/>
            </w:pPr>
            <w:r>
              <w:t xml:space="preserve">Gas pipa non-HGBT</w:t>
            </w:r>
          </w:p>
        </w:tc>
        <w:tc>
          <w:tcPr/>
          <w:p>
            <w:pPr>
              <w:pStyle w:val="Compact"/>
            </w:pPr>
            <w:r>
              <w:t xml:space="preserve">~9,6 (rata-rata)</w:t>
            </w:r>
          </w:p>
        </w:tc>
        <w:tc>
          <w:tcPr/>
          <w:p>
            <w:pPr>
              <w:pStyle w:val="Compact"/>
            </w:pPr>
            <w:r>
              <w:t xml:space="preserve">Di luar 7 sektor; konteks Jawa Barat dsb., dinyatakan</w:t>
            </w:r>
            <w:r>
              <w:t xml:space="preserve"> </w:t>
            </w:r>
            <w:r>
              <w:t xml:space="preserve">“tidak naik”</w:t>
            </w:r>
            <w:r>
              <w:t xml:space="preserve"> </w:t>
            </w:r>
            <w:r>
              <w:t xml:space="preserve">(Jun 2026)</w:t>
            </w:r>
          </w:p>
        </w:tc>
      </w:tr>
      <w:tr>
        <w:tc>
          <w:tcPr/>
          <w:p>
            <w:pPr>
              <w:pStyle w:val="Compact"/>
            </w:pPr>
            <w:r>
              <w:t xml:space="preserve">LNG non-HGBT</w:t>
            </w:r>
          </w:p>
        </w:tc>
        <w:tc>
          <w:tcPr/>
          <w:p>
            <w:pPr>
              <w:pStyle w:val="Compact"/>
            </w:pPr>
            <w:r>
              <w:t xml:space="preserve">13 (turun dari ~20)</w:t>
            </w:r>
          </w:p>
        </w:tc>
        <w:tc>
          <w:tcPr/>
          <w:p>
            <w:pPr>
              <w:pStyle w:val="Compact"/>
            </w:pPr>
            <w:r>
              <w:t xml:space="preserve">Industri padat karya/ekspor; berlaku 29 Jun–31 Des 2026</w:t>
            </w:r>
          </w:p>
        </w:tc>
      </w:tr>
    </w:tbl>
    <w:p>
      <w:pPr>
        <w:pStyle w:val="BodyText"/>
      </w:pPr>
      <w:r>
        <w:t xml:space="preserve">Tabel ini titik banding, bukan daftar harga CNG. HGBT hanya berlaku bagi 253 pengguna yang resmi ditetapkan di tujuh sektor (pupuk, petrokimia, oleokimia, baja, keramik, kaca, sarung tangan karet) menurut</w:t>
      </w:r>
      <w:r>
        <w:t xml:space="preserve"> </w:t>
      </w:r>
      <w:hyperlink r:id="rId19">
        <w:r>
          <w:rPr>
            <w:rStyle w:val="Hyperlink"/>
          </w:rPr>
          <w:t xml:space="preserve">Kementerian ESDM</w:t>
        </w:r>
      </w:hyperlink>
      <w:r>
        <w:t xml:space="preserve"> </w:t>
      </w:r>
      <w:r>
        <w:t xml:space="preserve">(Februari 2025). Mayoritas pembeli CNG komersial seperti hotel, rumah sakit, atau manufaktur umum tidak otomatis masuk skema ini.</w:t>
      </w:r>
    </w:p>
    <w:p>
      <w:pPr>
        <w:pStyle w:val="BodyText"/>
      </w:pPr>
      <w:r>
        <w:t xml:space="preserve">Di luar HGBT, acuannya gas pipa non-HGBT atau LNG. Diskon LNG US$13/MMBTU pun berlaku terbatas hingga 31 Desember 2026; kelanjutannya belum diputuskan pemerintah (</w:t>
      </w:r>
      <w:hyperlink r:id="rId20">
        <w:r>
          <w:rPr>
            <w:rStyle w:val="Hyperlink"/>
          </w:rPr>
          <w:t xml:space="preserve">Kontan</w:t>
        </w:r>
      </w:hyperlink>
      <w:r>
        <w:t xml:space="preserve">, Juni 2026), dan LNG jadi alternatif</w:t>
      </w:r>
      <w:r>
        <w:t xml:space="preserve"> </w:t>
      </w:r>
      <w:hyperlink r:id="rId21">
        <w:r>
          <w:rPr>
            <w:rStyle w:val="Hyperlink"/>
          </w:rPr>
          <w:t xml:space="preserve">pasokan LNG untuk volume besar</w:t>
        </w:r>
      </w:hyperlink>
      <w:r>
        <w:t xml:space="preserve">. Paritas terhadap solar (HSD) dan LPG juga kerap dijadikan pembanding biaya energi.</w:t>
      </w:r>
    </w:p>
    <w:bookmarkEnd w:id="22"/>
    <w:bookmarkStart w:id="23" w:name="X9420e1cd01a0455bc4c851bb40c93ae351dbd12"/>
    <w:p>
      <w:pPr>
        <w:pStyle w:val="Heading2"/>
      </w:pPr>
      <w:r>
        <w:t xml:space="preserve">Bongkar Struktur Harga: Anda Membayar Apa Saja?</w:t>
      </w:r>
    </w:p>
    <w:p>
      <w:pPr>
        <w:pStyle w:val="FirstParagraph"/>
      </w:pPr>
      <w:r>
        <w:t xml:space="preserve">Harga pasokan CNG adalah penjumlahan beberapa lapis: harga molekul gas (mengikuti skema HGBT atau non-HGBT), kompresi di Mother Station, transportasi lewat</w:t>
      </w:r>
      <w:r>
        <w:t xml:space="preserve"> </w:t>
      </w:r>
      <w:r>
        <w:rPr>
          <w:i/>
          <w:iCs/>
        </w:rPr>
        <w:t xml:space="preserve">Gas Transportation Module</w:t>
      </w:r>
      <w:r>
        <w:t xml:space="preserve"> </w:t>
      </w:r>
      <w:r>
        <w:t xml:space="preserve">(GTM),</w:t>
      </w:r>
      <w:r>
        <w:t xml:space="preserve"> </w:t>
      </w:r>
      <w:r>
        <w:rPr>
          <w:i/>
          <w:iCs/>
        </w:rPr>
        <w:t xml:space="preserve">Pressure Reduction Station</w:t>
      </w:r>
      <w:r>
        <w:t xml:space="preserve"> </w:t>
      </w:r>
      <w:r>
        <w:t xml:space="preserve">(PRS) di lokasi, telemetri, lalu margin niaga. Sebagian mengikuti acuan pasar, sebagian bersifat tetap.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Ikut acuan pasar?</w:t>
            </w:r>
          </w:p>
        </w:tc>
        <w:tc>
          <w:tcPr/>
          <w:p>
            <w:pPr>
              <w:pStyle w:val="Compact"/>
            </w:pPr>
            <w:r>
              <w:t xml:space="preserve">Yang memengaruhi</w:t>
            </w:r>
          </w:p>
        </w:tc>
      </w:tr>
      <w:tr>
        <w:tc>
          <w:tcPr/>
          <w:p>
            <w:pPr>
              <w:pStyle w:val="Compact"/>
            </w:pPr>
            <w:r>
              <w:t xml:space="preserve">Molekul gas</w:t>
            </w:r>
          </w:p>
        </w:tc>
        <w:tc>
          <w:tcPr/>
          <w:p>
            <w:pPr>
              <w:pStyle w:val="Compact"/>
            </w:pPr>
            <w:r>
              <w:t xml:space="preserve">Ya</w:t>
            </w:r>
          </w:p>
        </w:tc>
        <w:tc>
          <w:tcPr/>
          <w:p>
            <w:pPr>
              <w:pStyle w:val="Compact"/>
            </w:pPr>
            <w:r>
              <w:t xml:space="preserve">Skema sumber pasokan penyedia (HGBT/non-HGBT/LNG)</w:t>
            </w:r>
          </w:p>
        </w:tc>
      </w:tr>
      <w:tr>
        <w:tc>
          <w:tcPr/>
          <w:p>
            <w:pPr>
              <w:pStyle w:val="Compact"/>
            </w:pPr>
            <w:r>
              <w:t xml:space="preserve">Kompresi (Mother Station)</w:t>
            </w:r>
          </w:p>
        </w:tc>
        <w:tc>
          <w:tcPr/>
          <w:p>
            <w:pPr>
              <w:pStyle w:val="Compact"/>
            </w:pPr>
            <w:r>
              <w:t xml:space="preserve">Sebagian tetap</w:t>
            </w:r>
          </w:p>
        </w:tc>
        <w:tc>
          <w:tcPr/>
          <w:p>
            <w:pPr>
              <w:pStyle w:val="Compact"/>
            </w:pPr>
            <w:r>
              <w:t xml:space="preserve">Skala dan tingkat utilisasi</w:t>
            </w:r>
          </w:p>
        </w:tc>
      </w:tr>
      <w:tr>
        <w:tc>
          <w:tcPr/>
          <w:p>
            <w:pPr>
              <w:pStyle w:val="Compact"/>
            </w:pPr>
            <w:r>
              <w:t xml:space="preserve">Transportasi (GTM)</w:t>
            </w:r>
          </w:p>
        </w:tc>
        <w:tc>
          <w:tcPr/>
          <w:p>
            <w:pPr>
              <w:pStyle w:val="Compact"/>
            </w:pPr>
            <w:r>
              <w:t xml:space="preserve">Variabel</w:t>
            </w:r>
          </w:p>
        </w:tc>
        <w:tc>
          <w:tcPr/>
          <w:p>
            <w:pPr>
              <w:pStyle w:val="Compact"/>
            </w:pPr>
            <w:r>
              <w:t xml:space="preserve">Jarak lokasi, jumlah rit</w:t>
            </w:r>
          </w:p>
        </w:tc>
      </w:tr>
      <w:tr>
        <w:tc>
          <w:tcPr/>
          <w:p>
            <w:pPr>
              <w:pStyle w:val="Compact"/>
            </w:pPr>
            <w:r>
              <w:t xml:space="preserve">PRS &amp; instalasi lokasi</w:t>
            </w:r>
          </w:p>
        </w:tc>
        <w:tc>
          <w:tcPr/>
          <w:p>
            <w:pPr>
              <w:pStyle w:val="Compact"/>
            </w:pPr>
            <w:r>
              <w:t xml:space="preserve">Umumnya tetap</w:t>
            </w:r>
          </w:p>
        </w:tc>
        <w:tc>
          <w:tcPr/>
          <w:p>
            <w:pPr>
              <w:pStyle w:val="Compact"/>
            </w:pPr>
            <w:r>
              <w:t xml:space="preserve">Sekali di awal, sesuai kapasitas</w:t>
            </w:r>
          </w:p>
        </w:tc>
      </w:tr>
      <w:tr>
        <w:tc>
          <w:tcPr/>
          <w:p>
            <w:pPr>
              <w:pStyle w:val="Compact"/>
            </w:pPr>
            <w:r>
              <w:t xml:space="preserve">Telemetri</w:t>
            </w:r>
          </w:p>
        </w:tc>
        <w:tc>
          <w:tcPr/>
          <w:p>
            <w:pPr>
              <w:pStyle w:val="Compact"/>
            </w:pPr>
            <w:r>
              <w:t xml:space="preserve">Biaya layanan tetap</w:t>
            </w:r>
          </w:p>
        </w:tc>
        <w:tc>
          <w:tcPr/>
          <w:p>
            <w:pPr>
              <w:pStyle w:val="Compact"/>
            </w:pPr>
            <w:r>
              <w:t xml:space="preserve">Akurasi penagihan pemakaian riil</w:t>
            </w:r>
          </w:p>
        </w:tc>
      </w:tr>
      <w:tr>
        <w:tc>
          <w:tcPr/>
          <w:p>
            <w:pPr>
              <w:pStyle w:val="Compact"/>
            </w:pPr>
            <w:r>
              <w:t xml:space="preserve">Margin niaga</w:t>
            </w:r>
          </w:p>
        </w:tc>
        <w:tc>
          <w:tcPr/>
          <w:p>
            <w:pPr>
              <w:pStyle w:val="Compact"/>
            </w:pPr>
            <w:r>
              <w:t xml:space="preserve">Komersial</w:t>
            </w:r>
          </w:p>
        </w:tc>
        <w:tc>
          <w:tcPr/>
          <w:p>
            <w:pPr>
              <w:pStyle w:val="Compact"/>
            </w:pPr>
            <w:r>
              <w:t xml:space="preserve">Untuk gas pipa dibatasi ≤7% (Permen 58/2017); CNG tak terikat batas sama</w:t>
            </w:r>
          </w:p>
        </w:tc>
      </w:tr>
    </w:tbl>
    <w:p>
      <w:pPr>
        <w:pStyle w:val="BodyText"/>
      </w:pPr>
      <w:r>
        <w:rPr>
          <w:i/>
          <w:iCs/>
        </w:rPr>
        <w:t xml:space="preserve">[Image 02: Diagram waterfall horizontal pembentukan harga CNG:</w:t>
      </w:r>
      <w:r>
        <w:rPr>
          <w:i/>
          <w:iCs/>
        </w:rPr>
        <w:t xml:space="preserve"> </w:t>
      </w:r>
      <w:r>
        <w:rPr>
          <w:i/>
          <w:iCs/>
        </w:rPr>
        <w:t xml:space="preserve">“Harga molekul gas”</w:t>
      </w:r>
      <w:r>
        <w:rPr>
          <w:i/>
          <w:iCs/>
        </w:rPr>
        <w:t xml:space="preserve"> </w:t>
      </w:r>
      <w:r>
        <w:rPr>
          <w:i/>
          <w:iCs/>
        </w:rPr>
        <w:t xml:space="preserve">bertambah</w:t>
      </w:r>
      <w:r>
        <w:rPr>
          <w:i/>
          <w:iCs/>
        </w:rPr>
        <w:t xml:space="preserve"> </w:t>
      </w:r>
      <w:r>
        <w:rPr>
          <w:i/>
          <w:iCs/>
        </w:rPr>
        <w:t xml:space="preserve">“Kompresi (Mother Station)”</w:t>
      </w:r>
      <w:r>
        <w:rPr>
          <w:i/>
          <w:iCs/>
        </w:rPr>
        <w:t xml:space="preserve">,</w:t>
      </w:r>
      <w:r>
        <w:rPr>
          <w:i/>
          <w:iCs/>
        </w:rPr>
        <w:t xml:space="preserve"> </w:t>
      </w:r>
      <w:r>
        <w:rPr>
          <w:i/>
          <w:iCs/>
        </w:rPr>
        <w:t xml:space="preserve">“Transportasi (GTM)”</w:t>
      </w:r>
      <w:r>
        <w:rPr>
          <w:i/>
          <w:iCs/>
        </w:rPr>
        <w:t xml:space="preserve">,</w:t>
      </w:r>
      <w:r>
        <w:rPr>
          <w:i/>
          <w:iCs/>
        </w:rPr>
        <w:t xml:space="preserve"> </w:t>
      </w:r>
      <w:r>
        <w:rPr>
          <w:i/>
          <w:iCs/>
        </w:rPr>
        <w:t xml:space="preserve">“PRS &amp; instalasi lokasi”</w:t>
      </w:r>
      <w:r>
        <w:rPr>
          <w:i/>
          <w:iCs/>
        </w:rPr>
        <w:t xml:space="preserve">,</w:t>
      </w:r>
      <w:r>
        <w:rPr>
          <w:i/>
          <w:iCs/>
        </w:rPr>
        <w:t xml:space="preserve"> </w:t>
      </w:r>
      <w:r>
        <w:rPr>
          <w:i/>
          <w:iCs/>
        </w:rPr>
        <w:t xml:space="preserve">“Telemetri”</w:t>
      </w:r>
      <w:r>
        <w:rPr>
          <w:i/>
          <w:iCs/>
        </w:rPr>
        <w:t xml:space="preserve">,</w:t>
      </w:r>
      <w:r>
        <w:rPr>
          <w:i/>
          <w:iCs/>
        </w:rPr>
        <w:t xml:space="preserve"> </w:t>
      </w:r>
      <w:r>
        <w:rPr>
          <w:i/>
          <w:iCs/>
        </w:rPr>
        <w:t xml:space="preserve">“Margin niaga”</w:t>
      </w:r>
      <w:r>
        <w:rPr>
          <w:i/>
          <w:iCs/>
        </w:rPr>
        <w:t xml:space="preserve">, berujung</w:t>
      </w:r>
      <w:r>
        <w:rPr>
          <w:i/>
          <w:iCs/>
        </w:rPr>
        <w:t xml:space="preserve"> </w:t>
      </w:r>
      <w:r>
        <w:rPr>
          <w:i/>
          <w:iCs/>
        </w:rPr>
        <w:t xml:space="preserve">“Harga akhir di meter pelanggan”</w:t>
      </w:r>
      <w:r>
        <w:rPr>
          <w:i/>
          <w:iCs/>
        </w:rPr>
        <w:t xml:space="preserve">. Ikon flat, warna korporat netral, teks Bahasa Indonesia. alt: Diagram dekomposisi komponen harga pasokan CNG dari molekul gas hingga harga akhir.]</w:t>
      </w:r>
    </w:p>
    <w:p>
      <w:pPr>
        <w:pStyle w:val="BodyText"/>
      </w:pPr>
      <w:r>
        <w:t xml:space="preserve">Regulasi gas berpipa memberi kerangka berguna untuk membedah harga: Harga Jual Gas Bumi Hilir = harga gas + biaya infrastruktur + biaya niaga, dengan niaga dibatasi maksimum 7% dari harga gas (Permen ESDM No. 58/2017). Formula ini mengatur gas melalui pipa, bukan CNG yang diangkut via GTM, jadi jangan diperlakukan sebagai batas yang mengikat penyedia CNG.</w:t>
      </w:r>
    </w:p>
    <w:p>
      <w:pPr>
        <w:pStyle w:val="BodyText"/>
      </w:pPr>
      <w:r>
        <w:t xml:space="preserve">Pakai saja sebagai alat bertanya: berapa porsi harga yang murni margin niaga? Penyedia kredibel bersedia menjelaskannya. PGN Gagas, misalnya, menagih berdasarkan pemakaian aktual lewat telemetri, bukan estimasi kasar.</w:t>
      </w:r>
    </w:p>
    <w:bookmarkEnd w:id="23"/>
    <w:bookmarkStart w:id="25" w:name="Xff879d78588087ed9ede6faa32104000f5524d4"/>
    <w:p>
      <w:pPr>
        <w:pStyle w:val="Heading2"/>
      </w:pPr>
      <w:r>
        <w:t xml:space="preserve">Yang Bisa Ditawar vs yang Tetap: Lever Negosiasi</w:t>
      </w:r>
    </w:p>
    <w:p>
      <w:pPr>
        <w:pStyle w:val="FirstParagraph"/>
      </w:pPr>
      <w:r>
        <w:t xml:space="preserve">Yang bisa ditawar adalah lapisan layanan dan komitmen: tenor, besaran take-or-pay, skema harga, efisiensi logistik, dan margin niaga. Yang umumnya tetap adalah harga molekul gas bila mengikuti tarif resmi pemerintah, sebab penyedia pun membelinya pada harga yang sama.</w:t>
      </w:r>
    </w:p>
    <w:p>
      <w:pPr>
        <w:pStyle w:val="BodyText"/>
      </w:pPr>
      <w:r>
        <w:t xml:space="preserve">Lima lever yang paling sering membuahkan hasil:</w:t>
      </w:r>
    </w:p>
    <w:p>
      <w:pPr>
        <w:pStyle w:val="Compact"/>
        <w:numPr>
          <w:ilvl w:val="0"/>
          <w:numId w:val="1001"/>
        </w:numPr>
      </w:pPr>
      <w:r>
        <w:rPr>
          <w:b/>
          <w:bCs/>
        </w:rPr>
        <w:t xml:space="preserve">Tenor.</w:t>
      </w:r>
      <w:r>
        <w:t xml:space="preserve"> </w:t>
      </w:r>
      <w:r>
        <w:t xml:space="preserve">Komitmen kontrak lebih panjang kerap ditukar dengan harga per unit lebih rendah.</w:t>
      </w:r>
    </w:p>
    <w:p>
      <w:pPr>
        <w:pStyle w:val="Compact"/>
        <w:numPr>
          <w:ilvl w:val="0"/>
          <w:numId w:val="1001"/>
        </w:numPr>
      </w:pPr>
      <w:r>
        <w:rPr>
          <w:b/>
          <w:bCs/>
        </w:rPr>
        <w:t xml:space="preserve">Besaran take-or-pay</w:t>
      </w:r>
      <w:r>
        <w:t xml:space="preserve"> </w:t>
      </w:r>
      <w:r>
        <w:t xml:space="preserve">(kewajiban membayar volume minimum walau tak terpakai): negosiasikan angkanya, bukan menghapusnya.</w:t>
      </w:r>
    </w:p>
    <w:p>
      <w:pPr>
        <w:pStyle w:val="Compact"/>
        <w:numPr>
          <w:ilvl w:val="0"/>
          <w:numId w:val="1001"/>
        </w:numPr>
      </w:pPr>
      <w:r>
        <w:rPr>
          <w:b/>
          <w:bCs/>
        </w:rPr>
        <w:t xml:space="preserve">Skema harga.</w:t>
      </w:r>
      <w:r>
        <w:t xml:space="preserve"> </w:t>
      </w:r>
      <w:r>
        <w:t xml:space="preserve">Tetap (</w:t>
      </w:r>
      <w:r>
        <w:rPr>
          <w:i/>
          <w:iCs/>
        </w:rPr>
        <w:t xml:space="preserve">flat</w:t>
      </w:r>
      <w:r>
        <w:t xml:space="preserve">) atau terindeks; keduanya lazim di pasar.</w:t>
      </w:r>
    </w:p>
    <w:p>
      <w:pPr>
        <w:pStyle w:val="Compact"/>
        <w:numPr>
          <w:ilvl w:val="0"/>
          <w:numId w:val="1001"/>
        </w:numPr>
      </w:pPr>
      <w:r>
        <w:rPr>
          <w:b/>
          <w:bCs/>
        </w:rPr>
        <w:t xml:space="preserve">Logistik &amp; bundling.</w:t>
      </w:r>
      <w:r>
        <w:t xml:space="preserve"> </w:t>
      </w:r>
      <w:r>
        <w:t xml:space="preserve">Satu penyedia untuk beberapa lokasi bisa menekan biaya angkut GTM.</w:t>
      </w:r>
    </w:p>
    <w:p>
      <w:pPr>
        <w:pStyle w:val="Compact"/>
        <w:numPr>
          <w:ilvl w:val="0"/>
          <w:numId w:val="1001"/>
        </w:numPr>
      </w:pPr>
      <w:r>
        <w:rPr>
          <w:b/>
          <w:bCs/>
        </w:rPr>
        <w:t xml:space="preserve">Margin niaga.</w:t>
      </w:r>
      <w:r>
        <w:t xml:space="preserve"> </w:t>
      </w:r>
      <w:r>
        <w:t xml:space="preserve">Porsi komersial yang secara wajar terbuka untuk dibahas.</w:t>
      </w:r>
    </w:p>
    <w:p>
      <w:pPr>
        <w:pStyle w:val="FirstParagraph"/>
      </w:pPr>
      <w:r>
        <w:t xml:space="preserve">Yang sebaiknya tidak Anda harapkan berubah:</w:t>
      </w:r>
    </w:p>
    <w:p>
      <w:pPr>
        <w:pStyle w:val="Compact"/>
        <w:numPr>
          <w:ilvl w:val="0"/>
          <w:numId w:val="1002"/>
        </w:numPr>
      </w:pPr>
      <w:r>
        <w:t xml:space="preserve">Harga molekul gas resmi (HGBT atau non-HGBT) yang ditetapkan pemerintah.</w:t>
      </w:r>
    </w:p>
    <w:p>
      <w:pPr>
        <w:pStyle w:val="Compact"/>
        <w:numPr>
          <w:ilvl w:val="0"/>
          <w:numId w:val="1002"/>
        </w:numPr>
      </w:pPr>
      <w:r>
        <w:t xml:space="preserve">Standar keselamatan dan teknis pasokan, yang tidak layak dikompromikan demi harga.</w:t>
      </w:r>
    </w:p>
    <w:p>
      <w:pPr>
        <w:pStyle w:val="FirstParagraph"/>
      </w:pPr>
      <w:r>
        <w:rPr>
          <w:i/>
          <w:iCs/>
        </w:rPr>
        <w:t xml:space="preserve">[Image 03: Matriks dua kolom checklist minimalis, biru-abu. Kiri</w:t>
      </w:r>
      <w:r>
        <w:rPr>
          <w:i/>
          <w:iCs/>
        </w:rPr>
        <w:t xml:space="preserve"> </w:t>
      </w:r>
      <w:r>
        <w:rPr>
          <w:i/>
          <w:iCs/>
        </w:rPr>
        <w:t xml:space="preserve">“Bisa Ditawar”</w:t>
      </w:r>
      <w:r>
        <w:rPr>
          <w:i/>
          <w:iCs/>
        </w:rPr>
        <w:t xml:space="preserve">: tenor, besaran take-or-pay, skema harga, efisiensi logistik &amp; bundling, margin niaga (ikon centang). Kanan</w:t>
      </w:r>
      <w:r>
        <w:rPr>
          <w:i/>
          <w:iCs/>
        </w:rPr>
        <w:t xml:space="preserve"> </w:t>
      </w:r>
      <w:r>
        <w:rPr>
          <w:i/>
          <w:iCs/>
        </w:rPr>
        <w:t xml:space="preserve">“Umumnya Tetap”</w:t>
      </w:r>
      <w:r>
        <w:rPr>
          <w:i/>
          <w:iCs/>
        </w:rPr>
        <w:t xml:space="preserve">: harga molekul gas resmi (HGBT/non-HGBT), standar keselamatan &amp; teknis (ikon gembok). alt: Matriks komponen harga CNG yang bisa dinegosiasikan versus yang umumnya tetap.]</w:t>
      </w:r>
    </w:p>
    <w:p>
      <w:pPr>
        <w:pStyle w:val="BodyText"/>
      </w:pPr>
      <w:r>
        <w:t xml:space="preserve">Klausul yang wajib diminta adalah tinjauan harga (</w:t>
      </w:r>
      <w:r>
        <w:rPr>
          <w:i/>
          <w:iCs/>
        </w:rPr>
        <w:t xml:space="preserve">price review</w:t>
      </w:r>
      <w:r>
        <w:t xml:space="preserve">): kapan dan bagaimana harga bisa berubah, termasuk bila kebijakan HGBT atau harga LNG bergeser. Take-or-pay lazim dalam perjanjian jual-beli gas di Indonesia dan bukan tanda bahaya (Purba dkk., 2025); yang dinegosiasikan besarannya, bukan keberadaannya. Lever ini paling sering dipakai segmen industri dan komersial, termasuk pengguna</w:t>
      </w:r>
      <w:r>
        <w:t xml:space="preserve"> </w:t>
      </w:r>
      <w:hyperlink r:id="rId24">
        <w:r>
          <w:rPr>
            <w:rStyle w:val="Hyperlink"/>
          </w:rPr>
          <w:t xml:space="preserve">layanan Gaslink untuk industri &amp; komersial</w:t>
        </w:r>
      </w:hyperlink>
      <w:r>
        <w:t xml:space="preserve">.</w:t>
      </w:r>
    </w:p>
    <w:bookmarkEnd w:id="25"/>
    <w:bookmarkStart w:id="26" w:name="Xd5c3265a887ca080ad56d075e0ee575484acf8e"/>
    <w:p>
      <w:pPr>
        <w:pStyle w:val="Heading2"/>
      </w:pPr>
      <w:r>
        <w:t xml:space="preserve">Kapan Berhenti Menawar (dan Kapan Harga Murah Justru Alarm)</w:t>
      </w:r>
    </w:p>
    <w:p>
      <w:pPr>
        <w:pStyle w:val="FirstParagraph"/>
      </w:pPr>
      <w:r>
        <w:t xml:space="preserve">Berhentilah menawar saat harga sudah sebanding dengan acuan gas nasional ditambah biaya layanan yang wajar, dan penyedia bersedia menjelaskan tiap komponennya. Penawaran yang jauh di bawah semua acuan bukan kemenangan, melainkan sinyal: bisa jadi ada risiko pasok, sumber gas tak terverifikasi, atau harga yang akan dinaikkan di tengah kontrak.</w:t>
      </w:r>
    </w:p>
    <w:p>
      <w:pPr>
        <w:pStyle w:val="BodyText"/>
      </w:pPr>
      <w:r>
        <w:t xml:space="preserve">Sebelum duduk bernegosiasi, tetapkan BATNA (</w:t>
      </w:r>
      <w:r>
        <w:rPr>
          <w:i/>
          <w:iCs/>
        </w:rPr>
        <w:t xml:space="preserve">best alternative to a negotiated agreement</w:t>
      </w:r>
      <w:r>
        <w:t xml:space="preserve">), yaitu penawaran terbaik berikutnya jika kesepakatan gagal. Tanpa itu, Anda tak punya titik walk-away dan mudah ditekan.</w:t>
      </w:r>
    </w:p>
    <w:p>
      <w:pPr>
        <w:pStyle w:val="BodyText"/>
      </w:pPr>
      <w:r>
        <w:t xml:space="preserve">Karena sebagian besar harga molekul gas ditetapkan secara administratif, ruang untuk menekan harga di bawah seluruh acuan sebenarnya sempit. Untuk energi yang menghidupi lini produksi, harga wajar yang andal mengalahkan harga termurah yang rapuh.</w:t>
      </w:r>
    </w:p>
    <w:bookmarkEnd w:id="26"/>
    <w:bookmarkStart w:id="33" w:name="faq-pertanyaan-yang-sering-diajukan"/>
    <w:p>
      <w:pPr>
        <w:pStyle w:val="Heading2"/>
      </w:pPr>
      <w:r>
        <w:t xml:space="preserve">FAQ (Pertanyaan yang Sering Diajukan)</w:t>
      </w:r>
    </w:p>
    <w:bookmarkStart w:id="27" w:name="X76c044434b553fee2f18b6f67dcf463c2e2e141"/>
    <w:p>
      <w:pPr>
        <w:pStyle w:val="Heading3"/>
      </w:pPr>
      <w:r>
        <w:t xml:space="preserve">Berapa harga gas industri per MMBTU di Indonesia saat ini (2026)?</w:t>
      </w:r>
    </w:p>
    <w:p>
      <w:pPr>
        <w:pStyle w:val="FirstParagraph"/>
      </w:pPr>
      <w:r>
        <w:t xml:space="preserve">Pemerintah membaginya jadi tiga: HGBT US$6,5/MMBTU (bahan baku) dan US$7 (bahan bakar) untuk tujuh sektor tertentu, gas pipa non-HGBT rata-rata ~US$9,6/MMBTU, dan LNG non-HGBT US$13/MMBTU hingga 31 Desember 2026 (Kementerian ESDM, 2026). Semua ini acuan molekul gas, bukan harga CNG final di lokasi Anda.</w:t>
      </w:r>
    </w:p>
    <w:bookmarkEnd w:id="27"/>
    <w:bookmarkStart w:id="28" w:name="X6623b498aabce998d6861192c2914bc36e3967e"/>
    <w:p>
      <w:pPr>
        <w:pStyle w:val="Heading3"/>
      </w:pPr>
      <w:r>
        <w:t xml:space="preserve">Apa bedanya harga HGBT dan non-HGBT, dan apakah pembeli CNG otomatis dapat HGBT?</w:t>
      </w:r>
    </w:p>
    <w:p>
      <w:pPr>
        <w:pStyle w:val="FirstParagraph"/>
      </w:pPr>
      <w:r>
        <w:t xml:space="preserve">HGBT (US$6,5–7/MMBTU) hanya berlaku bagi 253 pengguna yang resmi ditetapkan di tujuh sektor industri tertentu. Di luar itu berlaku harga non-HGBT (pipa ~US$9,6 atau LNG US$13/MMBTU). Pembeli CNG komersial seperti hotel, rumah sakit, dan F&amp;B umumnya tidak otomatis masuk skema HGBT.</w:t>
      </w:r>
    </w:p>
    <w:bookmarkEnd w:id="28"/>
    <w:bookmarkStart w:id="29" w:name="X25bcbe73e3a2c57252f71f359b7c00aaf3664cc"/>
    <w:p>
      <w:pPr>
        <w:pStyle w:val="Heading3"/>
      </w:pPr>
      <w:r>
        <w:t xml:space="preserve">Apakah harga CNG tetap (flat) atau mengikuti harga minyak dunia?</w:t>
      </w:r>
    </w:p>
    <w:p>
      <w:pPr>
        <w:pStyle w:val="FirstParagraph"/>
      </w:pPr>
      <w:r>
        <w:t xml:space="preserve">Tergantung skema kontrak. Sebagian penyedia menawarkan harga tetap selama tenor untuk kepastian anggaran; sebagian memakai harga terindeks. Secara global, indeksasi ke harga minyak menurun, dari 24% (2005) ke 18,5% (2024) menurut survei International Gas Union 2025. Cek mekanismenya di klausul kontrak, jangan diasumsikan.</w:t>
      </w:r>
    </w:p>
    <w:bookmarkEnd w:id="29"/>
    <w:bookmarkStart w:id="30" w:name="Xc3678ad204c0da1121183ed640910fbd790c770"/>
    <w:p>
      <w:pPr>
        <w:pStyle w:val="Heading3"/>
      </w:pPr>
      <w:r>
        <w:t xml:space="preserve">Kenapa penawaran antar perusahaan CNG bisa berbeda jauh?</w:t>
      </w:r>
    </w:p>
    <w:p>
      <w:pPr>
        <w:pStyle w:val="FirstParagraph"/>
      </w:pPr>
      <w:r>
        <w:t xml:space="preserve">Karena harga CNG bukan cuma harga gas. Ia gabungan harga molekul (mengikuti skema sumber penyedia) plus kompresi, transportasi via GTM, PRS, dan telemetri. Dua penyedia dengan sumber gas atau jarak Mother Station berbeda wajar menghasilkan angka akhir berbeda meski melayani lokasi yang sama.</w:t>
      </w:r>
    </w:p>
    <w:bookmarkEnd w:id="30"/>
    <w:bookmarkStart w:id="31" w:name="X5a8f2676eeff6a992476705dd82634fe354c5c6"/>
    <w:p>
      <w:pPr>
        <w:pStyle w:val="Heading3"/>
      </w:pPr>
      <w:r>
        <w:t xml:space="preserve">Komponen harga CNG apa saja yang realistis untuk dinegosiasikan?</w:t>
      </w:r>
    </w:p>
    <w:p>
      <w:pPr>
        <w:pStyle w:val="FirstParagraph"/>
      </w:pPr>
      <w:r>
        <w:t xml:space="preserve">Paling terbuka: efisiensi rute GTM, bundling multi-lokasi, margin niaga, tenor, skema harga, dan besaran minimum offtake/take-or-pay. Yang biasanya tak bisa ditawar: harga molekul gas jika mengikuti tarif resmi (HGBT atau non-HGBT), karena penyedia pun membelinya pada harga yang sama.</w:t>
      </w:r>
    </w:p>
    <w:bookmarkEnd w:id="31"/>
    <w:bookmarkStart w:id="32" w:name="Xe2b482aac0d2af30c12adf35b6e994bb1d3b203"/>
    <w:p>
      <w:pPr>
        <w:pStyle w:val="Heading3"/>
      </w:pPr>
      <w:r>
        <w:t xml:space="preserve">Klausul harga apa yang wajib ada agar tidak</w:t>
      </w:r>
      <w:r>
        <w:t xml:space="preserve"> </w:t>
      </w:r>
      <w:r>
        <w:t xml:space="preserve">“kaget”</w:t>
      </w:r>
      <w:r>
        <w:t xml:space="preserve"> </w:t>
      </w:r>
      <w:r>
        <w:t xml:space="preserve">saat kontrak berjalan?</w:t>
      </w:r>
    </w:p>
    <w:p>
      <w:pPr>
        <w:pStyle w:val="FirstParagraph"/>
      </w:pPr>
      <w:r>
        <w:t xml:space="preserve">Minta klausul tinjauan harga (</w:t>
      </w:r>
      <w:r>
        <w:rPr>
          <w:i/>
          <w:iCs/>
        </w:rPr>
        <w:t xml:space="preserve">price review</w:t>
      </w:r>
      <w:r>
        <w:t xml:space="preserve">): kapan dan bagaimana harga bisa berubah, termasuk bila kebijakan HGBT atau diskon LNG (resmi hanya sampai 31 Desember 2026) berubah. Pastikan pula transparansi formula dan cara hitung take-or-pay bila pemakaian turun dari proyeksi.</w:t>
      </w:r>
    </w:p>
    <w:bookmarkEnd w:id="32"/>
    <w:bookmarkEnd w:id="33"/>
    <w:bookmarkStart w:id="34" w:name="kesimpulan"/>
    <w:p>
      <w:pPr>
        <w:pStyle w:val="Heading2"/>
      </w:pPr>
      <w:r>
        <w:t xml:space="preserve">Kesimpulan</w:t>
      </w:r>
    </w:p>
    <w:p>
      <w:pPr>
        <w:pStyle w:val="FirstParagraph"/>
      </w:pPr>
      <w:r>
        <w:t xml:space="preserve">Kembali ke tiga penawaran yang membingungkan tadi: begitu Anda memisahkan harga molekul dari biaya layanan dan menyandingkannya dengan acuan gas nasional, pertanyaan</w:t>
      </w:r>
      <w:r>
        <w:t xml:space="preserve"> </w:t>
      </w:r>
      <w:r>
        <w:t xml:space="preserve">“mana yang paling murah”</w:t>
      </w:r>
      <w:r>
        <w:t xml:space="preserve"> </w:t>
      </w:r>
      <w:r>
        <w:t xml:space="preserve">dari sekian perusahaan CNG berubah jadi</w:t>
      </w:r>
      <w:r>
        <w:t xml:space="preserve"> </w:t>
      </w:r>
      <w:r>
        <w:t xml:space="preserve">“mana yang paling wajar dan andal”</w:t>
      </w:r>
      <w:r>
        <w:t xml:space="preserve">. Di sinilah PGN Gagas relevan. Sebagai anak usaha PGN yang merupakan bagian dari Subholding Gas Pertamina, harga pasokan CNG-nya berpijak pada ekosistem harga gas nasional yang sama, sehingga Anda punya titik banding yang transparan untuk menakar tiap penawaran. Mulailah dari percakapan soal kebutuhan dan profil pemakaian, bukan dari angka termurah.</w:t>
      </w:r>
    </w:p>
    <w:p>
      <w:pPr>
        <w:pStyle w:val="BodyText"/>
      </w:pPr>
      <w:r>
        <w:t xml:space="preserve">Untuk mendiskusikan penilaian penawaran dan kebutuhan pasokan CNG di lokasi Anda, jelajahi pilihannya di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 Type="http://schemas.openxmlformats.org/officeDocument/2006/relationships/hyperlink" Id="rId20" Target="https://industri.kontan.co.id/news/evaluasi-harga-gas-industri-hgbt-dan-gas-pipa-tetap-lng-turun-ke-us-13-per-mmbtu" TargetMode="External" /><Relationship Type="http://schemas.openxmlformats.org/officeDocument/2006/relationships/hyperlink" Id="rId19" Target="https://www.esdm.go.id/id/media-center/arsip-berita/skema-baru-hgbt-perkuat-daya-saing-industri-dan-efisiensi-anggaran-negara" TargetMode="External" /></Relationships>
</file>

<file path=word/_rels/footnotes.xml.rels><?xml version="1.0" encoding="UTF-8"?><Relationships xmlns="http://schemas.openxmlformats.org/package/2006/relationships"><Relationship Type="http://schemas.openxmlformats.org/officeDocument/2006/relationships/hyperlink" Id="rId24"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 Type="http://schemas.openxmlformats.org/officeDocument/2006/relationships/hyperlink" Id="rId20" Target="https://industri.kontan.co.id/news/evaluasi-harga-gas-industri-hgbt-dan-gas-pipa-tetap-lng-turun-ke-us-13-per-mmbtu" TargetMode="External" /><Relationship Type="http://schemas.openxmlformats.org/officeDocument/2006/relationships/hyperlink" Id="rId19" Target="https://www.esdm.go.id/id/media-center/arsip-berita/skema-baru-hgbt-perkuat-daya-saing-industri-dan-efisiensi-anggaran-nega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2026-09-28T13:11:10Z</dcterms:created>
  <dcterms:modified xsi:type="dcterms:W3CDTF">2026-09-28T13:11:10Z</dcterms:modified>
</cp:coreProperties>
</file>

<file path=docProps/custom.xml><?xml version="1.0" encoding="utf-8"?>
<Properties xmlns="http://schemas.openxmlformats.org/officeDocument/2006/custom-properties" xmlns:vt="http://schemas.openxmlformats.org/officeDocument/2006/docPropsVTypes"/>
</file>