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"Rencana Kontingensi Energi: Jangan Bergantung Satu Perusahaan CNG"</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Rencana Kontingensi Pasokan"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perusahaan CNG Indonesia untuk membangun rencana kontingensi pasokan energi: register risiko, dual-source, buffer, dan asuransi gangguan usaha."</w:t>
      </w:r>
      <w:r>
        <w:br/>
      </w:r>
      <w:r>
        <w:rPr>
          <w:rStyle w:val="FunctionTok"/>
        </w:rPr>
        <w:t xml:space="preserve">slug</w:t>
      </w:r>
      <w:r>
        <w:rPr>
          <w:rStyle w:val="KeywordTok"/>
        </w:rPr>
        <w:t xml:space="preserve">:</w:t>
      </w:r>
      <w:r>
        <w:rPr>
          <w:rStyle w:val="AttributeTok"/>
        </w:rPr>
        <w:t xml:space="preserve"> </w:t>
      </w:r>
      <w:r>
        <w:rPr>
          <w:rStyle w:val="StringTok"/>
        </w:rPr>
        <w:t xml:space="preserve">"kontingensi-pasokan-energi-perusahaan-cng"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"rencana kontingensi pasokan energi"</w:t>
      </w:r>
      <w:r>
        <w:rPr>
          <w:rStyle w:val="KeywordTok"/>
        </w:rPr>
        <w:t xml:space="preserve">,</w:t>
      </w:r>
      <w:r>
        <w:rPr>
          <w:rStyle w:val="AttributeTok"/>
        </w:rPr>
        <w:t xml:space="preserve"> </w:t>
      </w:r>
      <w:r>
        <w:rPr>
          <w:rStyle w:val="StringTok"/>
        </w:rPr>
        <w:t xml:space="preserve">"business continuity plan energi"</w:t>
      </w:r>
      <w:r>
        <w:rPr>
          <w:rStyle w:val="KeywordTok"/>
        </w:rPr>
        <w:t xml:space="preserve">,</w:t>
      </w:r>
      <w:r>
        <w:rPr>
          <w:rStyle w:val="AttributeTok"/>
        </w:rPr>
        <w:t xml:space="preserve"> </w:t>
      </w:r>
      <w:r>
        <w:rPr>
          <w:rStyle w:val="StringTok"/>
        </w:rPr>
        <w:t xml:space="preserve">"dual-source gas"</w:t>
      </w:r>
      <w:r>
        <w:rPr>
          <w:rStyle w:val="KeywordTok"/>
        </w:rPr>
        <w:t xml:space="preserve">,</w:t>
      </w:r>
      <w:r>
        <w:rPr>
          <w:rStyle w:val="AttributeTok"/>
        </w:rPr>
        <w:t xml:space="preserve"> </w:t>
      </w:r>
      <w:r>
        <w:rPr>
          <w:rStyle w:val="StringTok"/>
        </w:rPr>
        <w:t xml:space="preserve">"bahan bakar cadangan failover"</w:t>
      </w:r>
      <w:r>
        <w:rPr>
          <w:rStyle w:val="KeywordTok"/>
        </w:rPr>
        <w:t xml:space="preserve">,</w:t>
      </w:r>
      <w:r>
        <w:rPr>
          <w:rStyle w:val="AttributeTok"/>
        </w:rPr>
        <w:t xml:space="preserve"> </w:t>
      </w:r>
      <w:r>
        <w:rPr>
          <w:rStyle w:val="StringTok"/>
        </w:rPr>
        <w:t xml:space="preserve">"buffer gas industri"</w:t>
      </w:r>
      <w:r>
        <w:rPr>
          <w:rStyle w:val="KeywordTok"/>
        </w:rPr>
        <w:t xml:space="preserve">,</w:t>
      </w:r>
      <w:r>
        <w:rPr>
          <w:rStyle w:val="AttributeTok"/>
        </w:rPr>
        <w:t xml:space="preserve"> </w:t>
      </w:r>
      <w:r>
        <w:rPr>
          <w:rStyle w:val="StringTok"/>
        </w:rPr>
        <w:t xml:space="preserve">"asuransi gangguan usaha"</w:t>
      </w:r>
      <w:r>
        <w:rPr>
          <w:rStyle w:val="KeywordTok"/>
        </w:rPr>
        <w:t xml:space="preserve">,</w:t>
      </w:r>
      <w:r>
        <w:rPr>
          <w:rStyle w:val="AttributeTok"/>
        </w:rPr>
        <w:t xml:space="preserve"> </w:t>
      </w:r>
      <w:r>
        <w:rPr>
          <w:rStyle w:val="StringTok"/>
        </w:rPr>
        <w:t xml:space="preserve">"keandalan pasokan CNG"</w:t>
      </w:r>
      <w:r>
        <w:rPr>
          <w:rStyle w:val="KeywordTok"/>
        </w:rPr>
        <w:t xml:space="preserve">,</w:t>
      </w:r>
      <w:r>
        <w:rPr>
          <w:rStyle w:val="AttributeTok"/>
        </w:rPr>
        <w:t xml:space="preserve"> </w:t>
      </w:r>
      <w:r>
        <w:rPr>
          <w:rStyle w:val="StringTok"/>
        </w:rPr>
        <w:t xml:space="preserve">"gangguan pasokan gas industri"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untuk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"https://www.esdm.go.id/id/media-center/arsip-berita/serius-jamin-ketahanan-energi-pemerintah-terbitkan-perpres-cadangan-penyangga-energi"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"Cadangan Penyangga Energi (Perpres 96/2024) hanya mencakup minyak bumi, BBM bensin, dan LPG, bukan gas bumi"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"https://www.fortuneidn.com/news/pasokan-hgbt-dibatasi-80-persen-enam-pabrik-keramik-terpaksa-matikan-lini-produksi-00-my5jv-0m78qd"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"Pembatasan pasokan gas industri September 2026 &amp; enam pabrik keramik menghentikan lini"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"https://www.indonesiare.co.id/id/article/memahami-isi-fungsi-dan-tantangan-interpretasi-business-interruption-insurance"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"Prinsip material damage proviso pada asuransi gangguan usaha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"https://www.iea.org/topics/energysecurity/whatisenergysecurity/"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ketahanan energi &amp; patokan cadangan 90 hari sebagai analogi kerangka berpikir"</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1599</w:t>
      </w:r>
    </w:p>
    <w:p>
      <w:r>
        <w:pict>
          <v:rect style="width:0;height:1.5pt" o:hralign="center" o:hrstd="t" o:hr="t"/>
        </w:pict>
      </w:r>
    </w:p>
    <w:bookmarkEnd w:id="16"/>
    <w:bookmarkStart w:id="33" w:name="X25636338af680e5ec7864ef6c67d6f183fa9a46"/>
    <w:p>
      <w:pPr>
        <w:pStyle w:val="Heading1"/>
      </w:pPr>
      <w:r>
        <w:t xml:space="preserve">Rencana Kontingensi Energi: Jangan Bergantung Satu Perusahaan CNG</w:t>
      </w:r>
    </w:p>
    <w:p>
      <w:pPr>
        <w:pStyle w:val="FirstParagraph"/>
      </w:pPr>
      <w:r>
        <w:t xml:space="preserve">Pertengahan September 2026, sedikitnya enam pabrik keramik di Jawa bagian barat terpaksa mematikan sebagian lini produksinya. Penyebabnya bukan order yang seret, melainkan pasokan gas yang dipangkas hingga tersisa sekitar 78% dari volume minimum kontrak. Kejadian ini menegaskan satu hal yang sering luput saat memilih</w:t>
      </w:r>
      <w:r>
        <w:t xml:space="preserve"> </w:t>
      </w:r>
      <w:hyperlink r:id="rId17">
        <w:r>
          <w:rPr>
            <w:rStyle w:val="Hyperlink"/>
          </w:rPr>
          <w:t xml:space="preserve">perusahaan CNG di Indonesia</w:t>
        </w:r>
      </w:hyperlink>
      <w:r>
        <w:t xml:space="preserve">: keandalan pasokan bukan semata janji penyedia, melainkan arsitektur cadangan yang Anda bangun sendiri. Artikel ini memandu Anda menyusun rencana kontingensi pasokan energi, dari pemetaan risiko sampai pilihan dual-source, buffer, failover, dan asuransi, sebelum gangguan berikutnya datang.</w:t>
      </w:r>
    </w:p>
    <w:p>
      <w:pPr>
        <w:pStyle w:val="BlockText"/>
      </w:pPr>
      <w:r>
        <w:rPr>
          <w:b/>
          <w:bCs/>
        </w:rPr>
        <w:t xml:space="preserve">Ringkasnya:</w:t>
      </w:r>
      <w:r>
        <w:t xml:space="preserve"> </w:t>
      </w:r>
      <w:r>
        <w:t xml:space="preserve">Rencana kontingensi pasokan energi adalah strategi dan langkah konkret yang disiapkan pembeli gas/CNG (bukan penyedia) agar operasional tetap berjalan saat pasokan utama terganggu, mencakup pemetaan risiko, cadangan (buffer), sumber pasokan kedua (dual-source), bahan bakar pengganti, dan transfer risiko lewat asuransi. Ia melengkapi, bukan menggantikan, jaminan keandalan dari penyedia.</w:t>
      </w:r>
    </w:p>
    <w:p>
      <w:pPr>
        <w:pStyle w:val="FirstParagraph"/>
      </w:pPr>
      <w:r>
        <w:rPr>
          <w:i/>
          <w:iCs/>
        </w:rPr>
        <w:t xml:space="preserve">[Image 01: Diagram lingkaran konsentris berjudul</w:t>
      </w:r>
      <w:r>
        <w:rPr>
          <w:i/>
          <w:iCs/>
        </w:rPr>
        <w:t xml:space="preserve"> </w:t>
      </w:r>
      <w:r>
        <w:rPr>
          <w:i/>
          <w:iCs/>
        </w:rPr>
        <w:t xml:space="preserve">“Lapisan Ketahanan Pasokan Energi”</w:t>
      </w:r>
      <w:r>
        <w:rPr>
          <w:i/>
          <w:iCs/>
        </w:rPr>
        <w:t xml:space="preserve">. Pusat: Proses Produksi Kritis; lapisan dari dalam ke luar berlabel SLA Penyedia, Telemetri/Peringatan Dini, Buffer di Lokasi, Failover LPG/Solar, Dual-Source, Asuransi Gangguan Usaha. Ikon flat minimalis, palet biru-abu korporat aksen hijau, teks Bahasa Indonesia. Alt-text:</w:t>
      </w:r>
      <w:r>
        <w:rPr>
          <w:i/>
          <w:iCs/>
        </w:rPr>
        <w:t xml:space="preserve"> </w:t>
      </w:r>
      <w:r>
        <w:rPr>
          <w:i/>
          <w:iCs/>
        </w:rPr>
        <w:t xml:space="preserve">“lapisan ketahanan pasokan energi untuk pembeli CNG”</w:t>
      </w:r>
      <w:r>
        <w:rPr>
          <w:i/>
          <w:iCs/>
        </w:rPr>
        <w:t xml:space="preserve">.]</w:t>
      </w:r>
    </w:p>
    <w:bookmarkStart w:id="19" w:name="X5d8fc7b291a70c7fc7eefc0bdf607bf2b21f27c"/>
    <w:p>
      <w:pPr>
        <w:pStyle w:val="Heading2"/>
      </w:pPr>
      <w:r>
        <w:t xml:space="preserve">Apa Itu Rencana Kontingensi Pasokan Energi?</w:t>
      </w:r>
    </w:p>
    <w:p>
      <w:pPr>
        <w:pStyle w:val="FirstParagraph"/>
      </w:pPr>
      <w:r>
        <w:t xml:space="preserve">Rencana kontingensi pasokan energi adalah bagian dari business continuity plan (BCP) yang fokus pada satu risiko: energi berhenti mengalir. Ia memetakan bagaimana proses tetap jalan ketika pasokan utama tersendat, lewat cadangan, sumber kedua, atau bahan bakar pengganti. Fokusnya pada aksi pembeli, bukan janji penyedia.</w:t>
      </w:r>
    </w:p>
    <w:p>
      <w:pPr>
        <w:pStyle w:val="BodyText"/>
      </w:pPr>
      <w:r>
        <w:t xml:space="preserve">Dua lapisan ini sering tertukar. Keandalan penyedia adalah kapabilitas pihak penyalur menjaga pasokan tetap mengalir; ketahanan versi pembeli adalah lapisan yang Anda bangun dan kendalikan sendiri agar operasional tetap hidup meski lapisan pertama gagal karena sebab di luar kendalinya. IRMAPA, asosiasi profesi manajemen risiko Indonesia, mendefinisikan BCP (</w:t>
      </w:r>
      <w:r>
        <w:rPr>
          <w:i/>
          <w:iCs/>
        </w:rPr>
        <w:t xml:space="preserve">business continuity plan</w:t>
      </w:r>
      <w:r>
        <w:t xml:space="preserve">) sebagai dokumen untuk merespons gangguan dan memulihkan proses, produk, serta layanan. Standar internasionalnya, ISO 22301:2019, bahkan diperbarui pada Februari 2024. Kontinuitas itu dirancang, bukan diharapkan.</w:t>
      </w:r>
    </w:p>
    <w:p>
      <w:pPr>
        <w:pStyle w:val="BodyText"/>
      </w:pPr>
      <w:r>
        <w:t xml:space="preserve">Kenapa bebannya jatuh ke pembeli? Untuk gas, tidak ada jaring pengaman negara. Cadangan Penyangga Energi dalam Perpres No. 96/2024 hanya mencakup minyak bumi, BBM jenis bensin, dan LPG, bukan gas bumi (Kementerian ESDM). Secara fisik pun CNG (</w:t>
      </w:r>
      <w:r>
        <w:rPr>
          <w:i/>
          <w:iCs/>
        </w:rPr>
        <w:t xml:space="preserve">Compressed Natural Gas</w:t>
      </w:r>
      <w:r>
        <w:t xml:space="preserve">)</w:t>
      </w:r>
      <w:r>
        <w:t xml:space="preserve"> </w:t>
      </w:r>
      <w:r>
        <w:rPr>
          <w:i/>
          <w:iCs/>
        </w:rPr>
        <w:t xml:space="preserve">beyond-pipeline</w:t>
      </w:r>
      <w:r>
        <w:t xml:space="preserve"> </w:t>
      </w:r>
      <w:r>
        <w:t xml:space="preserve">mengalir bertahap: dari Mother Station tempat gas dikompresi, diangkut lewat</w:t>
      </w:r>
      <w:r>
        <w:t xml:space="preserve"> </w:t>
      </w:r>
      <w:r>
        <w:rPr>
          <w:i/>
          <w:iCs/>
        </w:rPr>
        <w:t xml:space="preserve">Gas Transportation Module</w:t>
      </w:r>
      <w:r>
        <w:t xml:space="preserve"> </w:t>
      </w:r>
      <w:r>
        <w:t xml:space="preserve">(GTM) non-pipa, lalu diturunkan tekanannya di</w:t>
      </w:r>
      <w:r>
        <w:t xml:space="preserve"> </w:t>
      </w:r>
      <w:r>
        <w:rPr>
          <w:i/>
          <w:iCs/>
        </w:rPr>
        <w:t xml:space="preserve">Pressure Reduction Station</w:t>
      </w:r>
      <w:r>
        <w:t xml:space="preserve"> </w:t>
      </w:r>
      <w:r>
        <w:t xml:space="preserve">(PRS) di lokasi pelanggan. Tiap simpul bisa terganggu, dan akar krisis 2026 justru ada di hulu, sebelum rantai ini dimulai. Pasokan CNG seperti yang disalurkan lewat</w:t>
      </w:r>
      <w:r>
        <w:t xml:space="preserve"> </w:t>
      </w:r>
      <w:hyperlink r:id="rId18">
        <w:r>
          <w:rPr>
            <w:rStyle w:val="Hyperlink"/>
          </w:rPr>
          <w:t xml:space="preserve">Gaslink untuk industri &amp; komersial</w:t>
        </w:r>
      </w:hyperlink>
      <w:r>
        <w:t xml:space="preserve"> </w:t>
      </w:r>
      <w:r>
        <w:t xml:space="preserve">itulah urat nadi yang perlu diamankan.</w:t>
      </w:r>
    </w:p>
    <w:bookmarkEnd w:id="19"/>
    <w:bookmarkStart w:id="20" w:name="X10b01461f710198b62f03eb68d413a046accefc"/>
    <w:p>
      <w:pPr>
        <w:pStyle w:val="Heading2"/>
      </w:pPr>
      <w:r>
        <w:t xml:space="preserve">Seberapa Fatal Kalau Gas Berhenti 4 Jam? 24 Jam?</w:t>
      </w:r>
    </w:p>
    <w:p>
      <w:pPr>
        <w:pStyle w:val="FirstParagraph"/>
      </w:pPr>
      <w:r>
        <w:t xml:space="preserve">Mulailah dari register risiko energi: petakan tiap proses dan tentukan toleransi waktunya tanpa gas, atau</w:t>
      </w:r>
      <w:r>
        <w:t xml:space="preserve"> </w:t>
      </w:r>
      <w:r>
        <w:rPr>
          <w:i/>
          <w:iCs/>
        </w:rPr>
        <w:t xml:space="preserve">recovery time objective</w:t>
      </w:r>
      <w:r>
        <w:t xml:space="preserve"> </w:t>
      </w:r>
      <w:r>
        <w:t xml:space="preserve">(RTO) energi. Proses yang produknya rusak begitu pemanasan berhenti butuh mitigasi paling agresif; proses yang bisa dijeda beberapa jam cukup mengandalkan cadangan sederhana.</w:t>
      </w:r>
    </w:p>
    <w:p>
      <w:pPr>
        <w:pStyle w:val="BodyText"/>
      </w:pPr>
      <w:r>
        <w:t xml:space="preserve">Krisis 2026 jadi bahan latihan nyata: bukan insiden sekali waktu, melainkan pola berulang, bahkan setelah pemerintah merevisi aturan HGBT pertengahan tahun lewat Kepmen ESDM No. 281.K/2026 yang, menurut pemberitaan industri, menggantikan No. 250.K/2026.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Periode</w:t>
            </w:r>
          </w:p>
        </w:tc>
        <w:tc>
          <w:tcPr/>
          <w:p>
            <w:pPr>
              <w:pStyle w:val="Compact"/>
            </w:pPr>
            <w:r>
              <w:t xml:space="preserve">Kejadian</w:t>
            </w:r>
          </w:p>
        </w:tc>
        <w:tc>
          <w:tcPr/>
          <w:p>
            <w:pPr>
              <w:pStyle w:val="Compact"/>
            </w:pPr>
            <w:r>
              <w:t xml:space="preserve">Angka kunci</w:t>
            </w:r>
          </w:p>
        </w:tc>
      </w:tr>
      <w:tr>
        <w:tc>
          <w:tcPr/>
          <w:p>
            <w:pPr>
              <w:pStyle w:val="Compact"/>
            </w:pPr>
            <w:r>
              <w:t xml:space="preserve">Jan–Mei 2026</w:t>
            </w:r>
          </w:p>
        </w:tc>
        <w:tc>
          <w:tcPr/>
          <w:p>
            <w:pPr>
              <w:pStyle w:val="Compact"/>
            </w:pPr>
            <w:r>
              <w:t xml:space="preserve">Realisasi AGIT di bawah kebutuhan</w:t>
            </w:r>
          </w:p>
        </w:tc>
        <w:tc>
          <w:tcPr/>
          <w:p>
            <w:pPr>
              <w:pStyle w:val="Compact"/>
            </w:pPr>
            <w:r>
              <w:t xml:space="preserve">~47,5% dari kebutuhan</w:t>
            </w:r>
          </w:p>
        </w:tc>
      </w:tr>
      <w:tr>
        <w:tc>
          <w:tcPr/>
          <w:p>
            <w:pPr>
              <w:pStyle w:val="Compact"/>
            </w:pPr>
            <w:r>
              <w:t xml:space="preserve">Jun 2026</w:t>
            </w:r>
          </w:p>
        </w:tc>
        <w:tc>
          <w:tcPr/>
          <w:p>
            <w:pPr>
              <w:pStyle w:val="Compact"/>
            </w:pPr>
            <w:r>
              <w:t xml:space="preserve">Industri keramik peringatkan PHK massal</w:t>
            </w:r>
          </w:p>
        </w:tc>
        <w:tc>
          <w:tcPr/>
          <w:p>
            <w:pPr>
              <w:pStyle w:val="Compact"/>
            </w:pPr>
            <w:r>
              <w:t xml:space="preserve">55.000 pekerja terancam</w:t>
            </w:r>
          </w:p>
        </w:tc>
      </w:tr>
      <w:tr>
        <w:tc>
          <w:tcPr/>
          <w:p>
            <w:pPr>
              <w:pStyle w:val="Compact"/>
            </w:pPr>
            <w:r>
              <w:t xml:space="preserve">1–13 Sep 2026</w:t>
            </w:r>
          </w:p>
        </w:tc>
        <w:tc>
          <w:tcPr/>
          <w:p>
            <w:pPr>
              <w:pStyle w:val="Compact"/>
            </w:pPr>
            <w:r>
              <w:t xml:space="preserve">PGN membatasi pasokan industri</w:t>
            </w:r>
          </w:p>
        </w:tc>
        <w:tc>
          <w:tcPr/>
          <w:p>
            <w:pPr>
              <w:pStyle w:val="Compact"/>
            </w:pPr>
            <w:r>
              <w:t xml:space="preserve">~80% volume minimum kontrak</w:t>
            </w:r>
          </w:p>
        </w:tc>
      </w:tr>
      <w:tr>
        <w:tc>
          <w:tcPr/>
          <w:p>
            <w:pPr>
              <w:pStyle w:val="Compact"/>
            </w:pPr>
            <w:r>
              <w:t xml:space="preserve">14–30 Sep 2026</w:t>
            </w:r>
          </w:p>
        </w:tc>
        <w:tc>
          <w:tcPr/>
          <w:p>
            <w:pPr>
              <w:pStyle w:val="Compact"/>
            </w:pPr>
            <w:r>
              <w:t xml:space="preserve">Pembatasan diperdalam</w:t>
            </w:r>
          </w:p>
        </w:tc>
        <w:tc>
          <w:tcPr/>
          <w:p>
            <w:pPr>
              <w:pStyle w:val="Compact"/>
            </w:pPr>
            <w:r>
              <w:t xml:space="preserve">~78%; 6 pabrik keramik setop lini</w:t>
            </w:r>
          </w:p>
        </w:tc>
      </w:tr>
    </w:tbl>
    <w:p>
      <w:pPr>
        <w:pStyle w:val="BodyText"/>
      </w:pPr>
      <w:r>
        <w:rPr>
          <w:i/>
          <w:iCs/>
        </w:rPr>
        <w:t xml:space="preserve">Sumber: Kompas.com; Fortune Indonesia; CNBC Indonesia (2026).</w:t>
      </w:r>
    </w:p>
    <w:p>
      <w:pPr>
        <w:pStyle w:val="BodyText"/>
      </w:pPr>
      <w:r>
        <w:t xml:space="preserve">Tiga angka di sini kerap tertukar, jadi pisahkan tegas. Realisasi AGIT (Alokasi Gas Industri Tertentu) Januari–Mei sekitar</w:t>
      </w:r>
      <w:r>
        <w:t xml:space="preserve"> </w:t>
      </w:r>
      <w:r>
        <w:rPr>
          <w:b/>
          <w:bCs/>
        </w:rPr>
        <w:t xml:space="preserve">47,5%</w:t>
      </w:r>
      <w:r>
        <w:t xml:space="preserve"> </w:t>
      </w:r>
      <w:r>
        <w:t xml:space="preserve">adalah soal alokasi awal tahun. Angka</w:t>
      </w:r>
      <w:r>
        <w:t xml:space="preserve"> </w:t>
      </w:r>
      <w:r>
        <w:rPr>
          <w:b/>
          <w:bCs/>
        </w:rPr>
        <w:t xml:space="preserve">78–80%</w:t>
      </w:r>
      <w:r>
        <w:t xml:space="preserve"> </w:t>
      </w:r>
      <w:r>
        <w:t xml:space="preserve">pada September mengukur realisasi terhadap volume minimum kontrak, basis dan periode berbeda. Keduanya bukan porsi biaya gas terhadap ongkos produksi keramik yang, menurut CNBC Indonesia, naik dari ~35% ke</w:t>
      </w:r>
      <w:r>
        <w:t xml:space="preserve"> </w:t>
      </w:r>
      <w:r>
        <w:rPr>
          <w:b/>
          <w:bCs/>
        </w:rPr>
        <w:t xml:space="preserve">45–48%</w:t>
      </w:r>
      <w:r>
        <w:t xml:space="preserve">. Soal harga, sumber berbeda: US$8–8,5 ke ~US$12/MMBTU (CNBC) atau US$8 ke US$9/MMBTU (Fortune Indonesia); perlakukan sebagai rentang yang dilaporkan.</w:t>
      </w:r>
    </w:p>
    <w:p>
      <w:pPr>
        <w:pStyle w:val="BodyText"/>
      </w:pPr>
      <w:r>
        <w:rPr>
          <w:i/>
          <w:iCs/>
        </w:rPr>
        <w:t xml:space="preserve">[Image 02: Timeline horizontal</w:t>
      </w:r>
      <w:r>
        <w:rPr>
          <w:i/>
          <w:iCs/>
        </w:rPr>
        <w:t xml:space="preserve"> </w:t>
      </w:r>
      <w:r>
        <w:rPr>
          <w:i/>
          <w:iCs/>
        </w:rPr>
        <w:t xml:space="preserve">“Krisis Pasokan Gas Industri 2026”</w:t>
      </w:r>
      <w:r>
        <w:rPr>
          <w:i/>
          <w:iCs/>
        </w:rPr>
        <w:t xml:space="preserve"> </w:t>
      </w:r>
      <w:r>
        <w:rPr>
          <w:i/>
          <w:iCs/>
        </w:rPr>
        <w:t xml:space="preserve">dengan lima penanda: Jan–Mei (AGIT ~47,5%), Jun (ancaman PHK 55.000 pekerja), Jul (revisi Kepmen HGBT), 1–13 Sep (~80% kontrak), 14–30 Sep (~78%, 6 pabrik keramik setop). Gaya infografik bersih, garis abu dengan penanda merah untuk pembatasan, teks Bahasa Indonesia, mudah di-screenshot. Alt-text:</w:t>
      </w:r>
      <w:r>
        <w:rPr>
          <w:i/>
          <w:iCs/>
        </w:rPr>
        <w:t xml:space="preserve"> </w:t>
      </w:r>
      <w:r>
        <w:rPr>
          <w:i/>
          <w:iCs/>
        </w:rPr>
        <w:t xml:space="preserve">“kronologi pembatasan pasokan gas industri 2026”</w:t>
      </w:r>
      <w:r>
        <w:rPr>
          <w:i/>
          <w:iCs/>
        </w:rPr>
        <w:t xml:space="preserve">.]</w:t>
      </w:r>
    </w:p>
    <w:bookmarkEnd w:id="20"/>
    <w:bookmarkStart w:id="22" w:name="Xbfbfc74fcd2f0cc19ae1ba2591c5ba756954d6e"/>
    <w:p>
      <w:pPr>
        <w:pStyle w:val="Heading2"/>
      </w:pPr>
      <w:r>
        <w:t xml:space="preserve">Perlu Dua Penyedia atau Cukup Satu dengan Cadangan?</w:t>
      </w:r>
    </w:p>
    <w:p>
      <w:pPr>
        <w:pStyle w:val="FirstParagraph"/>
      </w:pPr>
      <w:r>
        <w:t xml:space="preserve">Tergantung toleransi henti dan skala konsumsi Anda. Dual-source (dua penyedia) masuk akal untuk proses kontinu 24 jam yang biaya hentinya tinggi. Untuk konsumsi kecil yang bisa dijeda, satu penyedia dengan SLA jelas plus buffer atau failover biasanya lebih hemat daripada mengelola dua kontrak sekaligus.</w:t>
      </w:r>
    </w:p>
    <w:p>
      <w:pPr>
        <w:pStyle w:val="BodyText"/>
      </w:pPr>
      <w:r>
        <w:t xml:space="preserve">Pasarnya sendiri memungkinkan pilihan: per semester II-2025 tercatat 53 perusahaan pemegang izin niaga CNG, naik dari 33 pada semester sebelumnya (Bloomberg Technoz). Artinya kontrak pemasok siaga (</w:t>
      </w:r>
      <w:r>
        <w:rPr>
          <w:i/>
          <w:iCs/>
        </w:rPr>
        <w:t xml:space="preserve">standby supplier</w:t>
      </w:r>
      <w:r>
        <w:t xml:space="preserve">) atau sumber kedua bukan hal mustahil dicari. Untuk kebutuhan volume besar, sebagian pembeli menempatkan</w:t>
      </w:r>
      <w:r>
        <w:t xml:space="preserve"> </w:t>
      </w:r>
      <w:hyperlink r:id="rId21">
        <w:r>
          <w:rPr>
            <w:rStyle w:val="Hyperlink"/>
          </w:rPr>
          <w:t xml:space="preserve">pasokan LNG untuk volume besar</w:t>
        </w:r>
      </w:hyperlink>
      <w:r>
        <w:t xml:space="preserve"> </w:t>
      </w:r>
      <w:r>
        <w:t xml:space="preserve">sebagai sumber kedua di samping CNG. Kuncinya menimbang biaya mengelola redundansi versus biaya henti yang dihindarkan.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Arsitektur</w:t>
            </w:r>
          </w:p>
        </w:tc>
        <w:tc>
          <w:tcPr/>
          <w:p>
            <w:pPr>
              <w:pStyle w:val="Compact"/>
            </w:pPr>
            <w:r>
              <w:t xml:space="preserve">Biaya</w:t>
            </w:r>
          </w:p>
        </w:tc>
        <w:tc>
          <w:tcPr/>
          <w:p>
            <w:pPr>
              <w:pStyle w:val="Compact"/>
            </w:pPr>
            <w:r>
              <w:t xml:space="preserve">Risiko henti</w:t>
            </w:r>
          </w:p>
        </w:tc>
        <w:tc>
          <w:tcPr/>
          <w:p>
            <w:pPr>
              <w:pStyle w:val="Compact"/>
            </w:pPr>
            <w:r>
              <w:t xml:space="preserve">Cocok untuk</w:t>
            </w:r>
          </w:p>
        </w:tc>
      </w:tr>
      <w:tr>
        <w:tc>
          <w:tcPr/>
          <w:p>
            <w:pPr>
              <w:pStyle w:val="Compact"/>
            </w:pPr>
            <w:r>
              <w:t xml:space="preserve">Single-source, tanpa cadangan</w:t>
            </w:r>
          </w:p>
        </w:tc>
        <w:tc>
          <w:tcPr/>
          <w:p>
            <w:pPr>
              <w:pStyle w:val="Compact"/>
            </w:pPr>
            <w:r>
              <w:t xml:space="preserve">Terendah</w:t>
            </w:r>
          </w:p>
        </w:tc>
        <w:tc>
          <w:tcPr/>
          <w:p>
            <w:pPr>
              <w:pStyle w:val="Compact"/>
            </w:pPr>
            <w:r>
              <w:t xml:space="preserve">Tertinggi</w:t>
            </w:r>
          </w:p>
        </w:tc>
        <w:tc>
          <w:tcPr/>
          <w:p>
            <w:pPr>
              <w:pStyle w:val="Compact"/>
            </w:pPr>
            <w:r>
              <w:t xml:space="preserve">Proses non-kritis, konsumsi kecil</w:t>
            </w:r>
          </w:p>
        </w:tc>
      </w:tr>
      <w:tr>
        <w:tc>
          <w:tcPr/>
          <w:p>
            <w:pPr>
              <w:pStyle w:val="Compact"/>
            </w:pPr>
            <w:r>
              <w:t xml:space="preserve">Single-source + buffer</w:t>
            </w:r>
          </w:p>
        </w:tc>
        <w:tc>
          <w:tcPr/>
          <w:p>
            <w:pPr>
              <w:pStyle w:val="Compact"/>
            </w:pPr>
            <w:r>
              <w:t xml:space="preserve">Rendah–menengah</w:t>
            </w:r>
          </w:p>
        </w:tc>
        <w:tc>
          <w:tcPr/>
          <w:p>
            <w:pPr>
              <w:pStyle w:val="Compact"/>
            </w:pPr>
            <w:r>
              <w:t xml:space="preserve">Menengah</w:t>
            </w:r>
          </w:p>
        </w:tc>
        <w:tc>
          <w:tcPr/>
          <w:p>
            <w:pPr>
              <w:pStyle w:val="Compact"/>
            </w:pPr>
            <w:r>
              <w:t xml:space="preserve">Mayoritas UMKM &amp; komersial</w:t>
            </w:r>
          </w:p>
        </w:tc>
      </w:tr>
      <w:tr>
        <w:tc>
          <w:tcPr/>
          <w:p>
            <w:pPr>
              <w:pStyle w:val="Compact"/>
            </w:pPr>
            <w:r>
              <w:t xml:space="preserve">Single-source + failover fuel</w:t>
            </w:r>
          </w:p>
        </w:tc>
        <w:tc>
          <w:tcPr/>
          <w:p>
            <w:pPr>
              <w:pStyle w:val="Compact"/>
            </w:pPr>
            <w:r>
              <w:t xml:space="preserve">Menengah</w:t>
            </w:r>
          </w:p>
        </w:tc>
        <w:tc>
          <w:tcPr/>
          <w:p>
            <w:pPr>
              <w:pStyle w:val="Compact"/>
            </w:pPr>
            <w:r>
              <w:t xml:space="preserve">Menengah-rendah</w:t>
            </w:r>
          </w:p>
        </w:tc>
        <w:tc>
          <w:tcPr/>
          <w:p>
            <w:pPr>
              <w:pStyle w:val="Compact"/>
            </w:pPr>
            <w:r>
              <w:t xml:space="preserve">Proses kontinu, anggaran terbatas</w:t>
            </w:r>
          </w:p>
        </w:tc>
      </w:tr>
      <w:tr>
        <w:tc>
          <w:tcPr/>
          <w:p>
            <w:pPr>
              <w:pStyle w:val="Compact"/>
            </w:pPr>
            <w:r>
              <w:t xml:space="preserve">Dual-source</w:t>
            </w:r>
          </w:p>
        </w:tc>
        <w:tc>
          <w:tcPr/>
          <w:p>
            <w:pPr>
              <w:pStyle w:val="Compact"/>
            </w:pPr>
            <w:r>
              <w:t xml:space="preserve">Menengah–tinggi</w:t>
            </w:r>
          </w:p>
        </w:tc>
        <w:tc>
          <w:tcPr/>
          <w:p>
            <w:pPr>
              <w:pStyle w:val="Compact"/>
            </w:pPr>
            <w:r>
              <w:t xml:space="preserve">Rendah</w:t>
            </w:r>
          </w:p>
        </w:tc>
        <w:tc>
          <w:tcPr/>
          <w:p>
            <w:pPr>
              <w:pStyle w:val="Compact"/>
            </w:pPr>
            <w:r>
              <w:t xml:space="preserve">Industri besar, proses 24 jam</w:t>
            </w:r>
          </w:p>
        </w:tc>
      </w:tr>
      <w:tr>
        <w:tc>
          <w:tcPr/>
          <w:p>
            <w:pPr>
              <w:pStyle w:val="Compact"/>
            </w:pPr>
            <w:r>
              <w:t xml:space="preserve">Dual-source + buffer + asuransi</w:t>
            </w:r>
          </w:p>
        </w:tc>
        <w:tc>
          <w:tcPr/>
          <w:p>
            <w:pPr>
              <w:pStyle w:val="Compact"/>
            </w:pPr>
            <w:r>
              <w:t xml:space="preserve">Tertinggi</w:t>
            </w:r>
          </w:p>
        </w:tc>
        <w:tc>
          <w:tcPr/>
          <w:p>
            <w:pPr>
              <w:pStyle w:val="Compact"/>
            </w:pPr>
            <w:r>
              <w:t xml:space="preserve">Terendah</w:t>
            </w:r>
          </w:p>
        </w:tc>
        <w:tc>
          <w:tcPr/>
          <w:p>
            <w:pPr>
              <w:pStyle w:val="Compact"/>
            </w:pPr>
            <w:r>
              <w:t xml:space="preserve">Operasi kritis, produk mudah rusak</w:t>
            </w:r>
          </w:p>
        </w:tc>
      </w:tr>
    </w:tbl>
    <w:p>
      <w:pPr>
        <w:pStyle w:val="BodyText"/>
      </w:pPr>
      <w:r>
        <w:rPr>
          <w:i/>
          <w:iCs/>
        </w:rPr>
        <w:t xml:space="preserve">[Image 03: Matriks keputusan 2×2</w:t>
      </w:r>
      <w:r>
        <w:rPr>
          <w:i/>
          <w:iCs/>
        </w:rPr>
        <w:t xml:space="preserve"> </w:t>
      </w:r>
      <w:r>
        <w:rPr>
          <w:i/>
          <w:iCs/>
        </w:rPr>
        <w:t xml:space="preserve">“Perlu Dual-Source atau Cukup Buffer?”</w:t>
      </w:r>
      <w:r>
        <w:rPr>
          <w:i/>
          <w:iCs/>
        </w:rPr>
        <w:t xml:space="preserve">. Sumbu X toleransi waktu henti (rendah ke tinggi), sumbu Y skala konsumsi/dampak finansial (rendah ke tinggi). Empat kuadran berlabel Single+buffer, Failover fuel, Dual-source, Dual-source+asuransi. Ikon minimalis, palet biru-hijau, teks Bahasa Indonesia. Alt-text:</w:t>
      </w:r>
      <w:r>
        <w:rPr>
          <w:i/>
          <w:iCs/>
        </w:rPr>
        <w:t xml:space="preserve"> </w:t>
      </w:r>
      <w:r>
        <w:rPr>
          <w:i/>
          <w:iCs/>
        </w:rPr>
        <w:t xml:space="preserve">“matriks memilih arsitektur ketahanan pasokan CNG”</w:t>
      </w:r>
      <w:r>
        <w:rPr>
          <w:i/>
          <w:iCs/>
        </w:rPr>
        <w:t xml:space="preserve">.]</w:t>
      </w:r>
    </w:p>
    <w:bookmarkEnd w:id="22"/>
    <w:bookmarkStart w:id="23" w:name="X275930421ea2b8855102550f6deb073c1d89512"/>
    <w:p>
      <w:pPr>
        <w:pStyle w:val="Heading2"/>
      </w:pPr>
      <w:r>
        <w:t xml:space="preserve">Membangun Lapisan Cadangan: Buffer, Failover, dan Asuransi</w:t>
      </w:r>
    </w:p>
    <w:p>
      <w:pPr>
        <w:pStyle w:val="FirstParagraph"/>
      </w:pPr>
      <w:r>
        <w:t xml:space="preserve">Ketahanan dibangun berlapis: buffer (penyangga) di lokasi menahan gangguan pendek, failover fuel menjaga proses saat pasokan utama gagal, dan asuransi memindahkan sisa risiko finansial. Lengkapi dengan runbook tertulis dan simulasi berkala agar peralihan tidak dikarang saat panik. Tiap tingkat menutup celah yang berbeda:</w:t>
      </w:r>
    </w:p>
    <w:p>
      <w:pPr>
        <w:pStyle w:val="Compact"/>
        <w:numPr>
          <w:ilvl w:val="0"/>
          <w:numId w:val="1001"/>
        </w:numPr>
      </w:pPr>
      <w:r>
        <w:rPr>
          <w:b/>
          <w:bCs/>
        </w:rPr>
        <w:t xml:space="preserve">Buffer di lokasi:</w:t>
      </w:r>
      <w:r>
        <w:t xml:space="preserve"> </w:t>
      </w:r>
      <w:r>
        <w:t xml:space="preserve">tidak ada durasi baku untuk cadangan gas industri di Indonesia. Tangki harian genset, misalnya, dirancang untuk 24 jam sampai beberapa hari; angka Anda ditentukan RTO-energi, bukan disalin dari sektor lain.</w:t>
      </w:r>
    </w:p>
    <w:p>
      <w:pPr>
        <w:pStyle w:val="Compact"/>
        <w:numPr>
          <w:ilvl w:val="0"/>
          <w:numId w:val="1001"/>
        </w:numPr>
      </w:pPr>
      <w:r>
        <w:rPr>
          <w:b/>
          <w:bCs/>
        </w:rPr>
        <w:t xml:space="preserve">Failover fuel:</w:t>
      </w:r>
      <w:r>
        <w:t xml:space="preserve"> </w:t>
      </w:r>
      <w:r>
        <w:t xml:space="preserve">LPG atau solar (HSD) bisa jadi cadangan lewat burner</w:t>
      </w:r>
      <w:r>
        <w:t xml:space="preserve"> </w:t>
      </w:r>
      <w:r>
        <w:rPr>
          <w:i/>
          <w:iCs/>
        </w:rPr>
        <w:t xml:space="preserve">dual-fuel</w:t>
      </w:r>
      <w:r>
        <w:t xml:space="preserve">, tapi bukan</w:t>
      </w:r>
      <w:r>
        <w:t xml:space="preserve"> </w:t>
      </w:r>
      <w:r>
        <w:t xml:space="preserve">“colok-pakai”</w:t>
      </w:r>
      <w:r>
        <w:t xml:space="preserve">. Boiler tunduk pada Permenaker No. 37/2016 (operator wajib SIO, alat wajib riksa-uji berkala), jadi konsultasikan ke penyedia boiler bersertifikat atau PJK3. Failover pun umumnya lebih mahal per unit energi: ia jaring pengaman, bukan mode harian.</w:t>
      </w:r>
    </w:p>
    <w:p>
      <w:pPr>
        <w:pStyle w:val="Compact"/>
        <w:numPr>
          <w:ilvl w:val="0"/>
          <w:numId w:val="1001"/>
        </w:numPr>
      </w:pPr>
      <w:r>
        <w:rPr>
          <w:b/>
          <w:bCs/>
        </w:rPr>
        <w:t xml:space="preserve">Asuransi gangguan usaha:</w:t>
      </w:r>
      <w:r>
        <w:t xml:space="preserve"> </w:t>
      </w:r>
      <w:r>
        <w:t xml:space="preserve">di sini nuansa yang sering disalahpahami. Polis</w:t>
      </w:r>
      <w:r>
        <w:t xml:space="preserve"> </w:t>
      </w:r>
      <w:r>
        <w:rPr>
          <w:i/>
          <w:iCs/>
        </w:rPr>
        <w:t xml:space="preserve">business interruption</w:t>
      </w:r>
      <w:r>
        <w:t xml:space="preserve"> </w:t>
      </w:r>
      <w:r>
        <w:t xml:space="preserve">di Indonesia pada umumnya menuntut</w:t>
      </w:r>
      <w:r>
        <w:t xml:space="preserve"> </w:t>
      </w:r>
      <w:r>
        <w:t xml:space="preserve">“</w:t>
      </w:r>
      <w:r>
        <w:rPr>
          <w:i/>
          <w:iCs/>
        </w:rPr>
        <w:t xml:space="preserve">material damage proviso</w:t>
      </w:r>
      <w:r>
        <w:t xml:space="preserve">”</w:t>
      </w:r>
      <w:r>
        <w:t xml:space="preserve">: klaim baru berlaku bila gangguan dipicu kerusakan fisik yang dijamin polis induk, misalnya kebakaran (Indonesia Re). Pembatasan pasokan murni biasanya di luar cakupan standar, jadi tanyakan</w:t>
      </w:r>
      <w:r>
        <w:t xml:space="preserve"> </w:t>
      </w:r>
      <w:r>
        <w:rPr>
          <w:i/>
          <w:iCs/>
        </w:rPr>
        <w:t xml:space="preserve">endorsement</w:t>
      </w:r>
      <w:r>
        <w:t xml:space="preserve"> </w:t>
      </w:r>
      <w:r>
        <w:t xml:space="preserve">khusus ke broker.</w:t>
      </w:r>
    </w:p>
    <w:p>
      <w:pPr>
        <w:pStyle w:val="FirstParagraph"/>
      </w:pPr>
      <w:r>
        <w:t xml:space="preserve">Telemetri real-time penyedia juga membantu di lapisan awal. Menurut halaman gagas.co.id, PGN Gagas memantau sisa volume dan tekanan gas lalu menjadwalkan pengiriman ulang otomatis, yang berguna sebagai peringatan dini agar failover sempat dijalankan. Ia tetap satu lapis mitigasi, bukan jaminan pasokan tak akan terganggu.</w:t>
      </w:r>
    </w:p>
    <w:p>
      <w:pPr>
        <w:pStyle w:val="BodyText"/>
      </w:pPr>
      <w:r>
        <w:t xml:space="preserve">Tuangkan semuanya ke runbook (prosedur tertulis) dan uji berkala:</w:t>
      </w:r>
    </w:p>
    <w:p>
      <w:pPr>
        <w:pStyle w:val="Compact"/>
        <w:numPr>
          <w:ilvl w:val="0"/>
          <w:numId w:val="1002"/>
        </w:numPr>
      </w:pPr>
      <w:r>
        <w:rPr>
          <w:b/>
          <w:bCs/>
        </w:rPr>
        <w:t xml:space="preserve">Ambang pemicu:</w:t>
      </w:r>
      <w:r>
        <w:t xml:space="preserve"> </w:t>
      </w:r>
      <w:r>
        <w:t xml:space="preserve">pada sisa buffer berapa jam failover diaktifkan.</w:t>
      </w:r>
    </w:p>
    <w:p>
      <w:pPr>
        <w:pStyle w:val="Compact"/>
        <w:numPr>
          <w:ilvl w:val="0"/>
          <w:numId w:val="1002"/>
        </w:numPr>
      </w:pPr>
      <w:r>
        <w:rPr>
          <w:b/>
          <w:bCs/>
        </w:rPr>
        <w:t xml:space="preserve">Peran &amp; kontak:</w:t>
      </w:r>
      <w:r>
        <w:t xml:space="preserve"> </w:t>
      </w:r>
      <w:r>
        <w:t xml:space="preserve">siapa memutuskan, siapa mengeksekusi, kontak darurat penyedia.</w:t>
      </w:r>
    </w:p>
    <w:p>
      <w:pPr>
        <w:pStyle w:val="Compact"/>
        <w:numPr>
          <w:ilvl w:val="0"/>
          <w:numId w:val="1002"/>
        </w:numPr>
      </w:pPr>
      <w:r>
        <w:rPr>
          <w:b/>
          <w:bCs/>
        </w:rPr>
        <w:t xml:space="preserve">Langkah peralihan:</w:t>
      </w:r>
      <w:r>
        <w:t xml:space="preserve"> </w:t>
      </w:r>
      <w:r>
        <w:t xml:space="preserve">urutan teknis beralih ke LPG/solar dengan aman.</w:t>
      </w:r>
    </w:p>
    <w:p>
      <w:pPr>
        <w:pStyle w:val="Compact"/>
        <w:numPr>
          <w:ilvl w:val="0"/>
          <w:numId w:val="1002"/>
        </w:numPr>
      </w:pPr>
      <w:r>
        <w:rPr>
          <w:b/>
          <w:bCs/>
        </w:rPr>
        <w:t xml:space="preserve">Simulasi (drill):</w:t>
      </w:r>
      <w:r>
        <w:t xml:space="preserve"> </w:t>
      </w:r>
      <w:r>
        <w:t xml:space="preserve">latih minimal setahun sekali; peralihan yang tak pernah diuji cenderung gagal saat dibutuhkan.</w:t>
      </w:r>
    </w:p>
    <w:bookmarkEnd w:id="23"/>
    <w:bookmarkStart w:id="24" w:name="kapan-redundansi-justru-pemborosan"/>
    <w:p>
      <w:pPr>
        <w:pStyle w:val="Heading2"/>
      </w:pPr>
      <w:r>
        <w:t xml:space="preserve">Kapan Redundansi Justru Pemborosan</w:t>
      </w:r>
    </w:p>
    <w:p>
      <w:pPr>
        <w:pStyle w:val="FirstParagraph"/>
      </w:pPr>
      <w:r>
        <w:t xml:space="preserve">Untuk usaha kecil atau single-site berkonsumsi rendah dengan proses yang bisa dijeda beberapa jam, dual-source penuh sering lebih mahal daripada risikonya. Di titik ini, satu penyedia dengan SLA jelas, dukungan responsif, plus buffer sederhana sudah memadai. Redundansi berbiaya, dan tidak semua operasi membutuhkannya.</w:t>
      </w:r>
    </w:p>
    <w:p>
      <w:pPr>
        <w:pStyle w:val="BodyText"/>
      </w:pPr>
      <w:r>
        <w:t xml:space="preserve">Redundansi bukan tujuan, ia alat. Menduplikasi kontrak, memasang tangki failover, dan membeli</w:t>
      </w:r>
      <w:r>
        <w:t xml:space="preserve"> </w:t>
      </w:r>
      <w:r>
        <w:rPr>
          <w:i/>
          <w:iCs/>
        </w:rPr>
        <w:t xml:space="preserve">endorsement</w:t>
      </w:r>
      <w:r>
        <w:t xml:space="preserve"> </w:t>
      </w:r>
      <w:r>
        <w:t xml:space="preserve">asuransi semuanya memakan modal dan biaya administrasi. Kalau produk Anda tidak rusak saat proses berhenti sejenak dan pasokan bisa pulih dalam hitungan jam, ongkos redundansi penuh bisa jauh melebihi kerugian yang dihindarkan. Aturan praktisnya: sepadankan investasi ketahanan dengan biaya henti yang nyata, bukan dengan ketakutan. Sebuah laundry komersial dan pabrik kaca lembaran ada di ujung spektrum berbeda, dan rencana kontingensinya pun semestinya berbeda.</w:t>
      </w:r>
    </w:p>
    <w:bookmarkEnd w:id="24"/>
    <w:bookmarkStart w:id="31" w:name="faq-pertanyaan-yang-sering-diajukan"/>
    <w:p>
      <w:pPr>
        <w:pStyle w:val="Heading2"/>
      </w:pPr>
      <w:r>
        <w:t xml:space="preserve">FAQ (Pertanyaan yang Sering Diajukan)</w:t>
      </w:r>
    </w:p>
    <w:bookmarkStart w:id="25" w:name="X316c486d5ca8dd1d9b740c365a47fd717e0a131"/>
    <w:p>
      <w:pPr>
        <w:pStyle w:val="Heading3"/>
      </w:pPr>
      <w:r>
        <w:t xml:space="preserve">Bagaimana kalau pasokan CNG dari satu penyedia terganggu?</w:t>
      </w:r>
    </w:p>
    <w:p>
      <w:pPr>
        <w:pStyle w:val="FirstParagraph"/>
      </w:pPr>
      <w:r>
        <w:t xml:space="preserve">Tanpa cadangan, proses berisiko langsung berhenti begitu pasokan menyusut, seperti dialami sejumlah pabrik keramik di Jawa bagian barat pada September 2026 saat pasokan gas industri dibatasi hingga tersisa 78–80% dari volume minimum kontrak. Dengan buffer atau failover fuel, operasional bisa bertahan sampai pasokan pulih.</w:t>
      </w:r>
    </w:p>
    <w:bookmarkEnd w:id="25"/>
    <w:bookmarkStart w:id="26" w:name="Xc061a005ef43d38c7f03320dbb8297e2459cf59"/>
    <w:p>
      <w:pPr>
        <w:pStyle w:val="Heading3"/>
      </w:pPr>
      <w:r>
        <w:t xml:space="preserve">Apakah perlu punya dua penyedia CNG sekaligus?</w:t>
      </w:r>
    </w:p>
    <w:p>
      <w:pPr>
        <w:pStyle w:val="FirstParagraph"/>
      </w:pPr>
      <w:r>
        <w:t xml:space="preserve">Tidak selalu. Dual-source paling masuk akal untuk proses kontinu 24 jam yang biaya hentinya tinggi dan konsumsi besar. Untuk usaha kecil-menengah berkonsumsi rendah atau proses yang bisa dijeda, satu penyedia dengan SLA jelas plus buffer atau failover sering lebih hemat daripada mengelola dua kontrak sekaligus.</w:t>
      </w:r>
    </w:p>
    <w:bookmarkEnd w:id="26"/>
    <w:bookmarkStart w:id="27" w:name="X58a24d04b7a0e4e61a398a3c2571bbdd42652d0"/>
    <w:p>
      <w:pPr>
        <w:pStyle w:val="Heading3"/>
      </w:pPr>
      <w:r>
        <w:t xml:space="preserve">Apakah asuransi gangguan usaha menutup kerugian akibat pasokan gas terhenti?</w:t>
      </w:r>
    </w:p>
    <w:p>
      <w:pPr>
        <w:pStyle w:val="FirstParagraph"/>
      </w:pPr>
      <w:r>
        <w:t xml:space="preserve">Umumnya tidak otomatis. Polis</w:t>
      </w:r>
      <w:r>
        <w:t xml:space="preserve"> </w:t>
      </w:r>
      <w:r>
        <w:rPr>
          <w:i/>
          <w:iCs/>
        </w:rPr>
        <w:t xml:space="preserve">business interruption</w:t>
      </w:r>
      <w:r>
        <w:t xml:space="preserve"> </w:t>
      </w:r>
      <w:r>
        <w:t xml:space="preserve">di Indonesia lazim menempel pada asuransi harta benda dan menuntut</w:t>
      </w:r>
      <w:r>
        <w:t xml:space="preserve"> </w:t>
      </w:r>
      <w:r>
        <w:t xml:space="preserve">“</w:t>
      </w:r>
      <w:r>
        <w:rPr>
          <w:i/>
          <w:iCs/>
        </w:rPr>
        <w:t xml:space="preserve">material damage proviso</w:t>
      </w:r>
      <w:r>
        <w:t xml:space="preserve">”</w:t>
      </w:r>
      <w:r>
        <w:t xml:space="preserve">, sehingga klaim baru berlaku bila ada kerusakan fisik yang dijamin polis induk. Pembatasan pasokan murni biasanya di luar cakupan standar (Indonesia Re); tanyakan</w:t>
      </w:r>
      <w:r>
        <w:t xml:space="preserve"> </w:t>
      </w:r>
      <w:r>
        <w:rPr>
          <w:i/>
          <w:iCs/>
        </w:rPr>
        <w:t xml:space="preserve">endorsement</w:t>
      </w:r>
      <w:r>
        <w:t xml:space="preserve"> </w:t>
      </w:r>
      <w:r>
        <w:t xml:space="preserve">khusus ke broker.</w:t>
      </w:r>
    </w:p>
    <w:bookmarkEnd w:id="27"/>
    <w:bookmarkStart w:id="28" w:name="X7414c33cddc6a77ddb0a0dbd9b74e8c957f6a99"/>
    <w:p>
      <w:pPr>
        <w:pStyle w:val="Heading3"/>
      </w:pPr>
      <w:r>
        <w:t xml:space="preserve">Berapa lama cadangan bahan bakar yang wajar untuk pabrik?</w:t>
      </w:r>
    </w:p>
    <w:p>
      <w:pPr>
        <w:pStyle w:val="FirstParagraph"/>
      </w:pPr>
      <w:r>
        <w:t xml:space="preserve">Tidak ada angka baku untuk gas/CNG industri di Indonesia; durasinya bergantung pada toleransi proses Anda tanpa energi (RTO). Sebagai gambaran skala berbeda: tangki harian genset dirancang untuk 24 jam sampai beberapa hari, sedangkan cadangan minyak strategis versi IEA memakai patokan 90 hari impor bersih di level negara.</w:t>
      </w:r>
    </w:p>
    <w:bookmarkEnd w:id="28"/>
    <w:bookmarkStart w:id="29" w:name="X5a06fc9db2c57d18de347a1463eddb1737f907d"/>
    <w:p>
      <w:pPr>
        <w:pStyle w:val="Heading3"/>
      </w:pPr>
      <w:r>
        <w:t xml:space="preserve">Bisakah CNG dikombinasikan dengan LPG atau solar sebagai cadangan?</w:t>
      </w:r>
    </w:p>
    <w:p>
      <w:pPr>
        <w:pStyle w:val="FirstParagraph"/>
      </w:pPr>
      <w:r>
        <w:t xml:space="preserve">Secara prinsip bisa, lewat burner</w:t>
      </w:r>
      <w:r>
        <w:t xml:space="preserve"> </w:t>
      </w:r>
      <w:r>
        <w:rPr>
          <w:i/>
          <w:iCs/>
        </w:rPr>
        <w:t xml:space="preserve">dual-fuel</w:t>
      </w:r>
      <w:r>
        <w:t xml:space="preserve"> </w:t>
      </w:r>
      <w:r>
        <w:t xml:space="preserve">yang dirancang menerima lebih dari satu bahan bakar, tapi bukan sekadar</w:t>
      </w:r>
      <w:r>
        <w:t xml:space="preserve"> </w:t>
      </w:r>
      <w:r>
        <w:t xml:space="preserve">“colok-pakai”</w:t>
      </w:r>
      <w:r>
        <w:t xml:space="preserve">. Boiler tunduk pada Permenaker No. 37/2016: operator wajib memegang SIO dan alat wajib riksa-uji berkala. Konsultasikan ke penyedia boiler bersertifikat atau PJK3 sebelum mengandalkan LPG/solar sebagai failover.</w:t>
      </w:r>
    </w:p>
    <w:bookmarkEnd w:id="29"/>
    <w:bookmarkStart w:id="30" w:name="X34e2f78e5e7e654d56f6c8788a94cff333fd530"/>
    <w:p>
      <w:pPr>
        <w:pStyle w:val="Heading3"/>
      </w:pPr>
      <w:r>
        <w:t xml:space="preserve">Siapa yang menanggung risiko saat gangguan disebabkan force majeure?</w:t>
      </w:r>
    </w:p>
    <w:p>
      <w:pPr>
        <w:pStyle w:val="FirstParagraph"/>
      </w:pPr>
      <w:r>
        <w:t xml:space="preserve">Force majeure (keadaan memaksa) pada umumnya membebaskan pihak yang gagal memenuhi kewajiban dari tanggung jawab hukum penuh, merujuk KUHPerdata Pasal 1244–1245 dan 1444–1445. Namun ini bukan berarti pembeli otomatis bebas dari risiko operasional. Karena itu, baca detail klausul force majeure dalam kontrak gas/CNG Anda, termasuk kewajiban notifikasi dan opsi mitigasi yang disepakati, sebelum menganggap risiko henti sudah tertutup.</w:t>
      </w:r>
    </w:p>
    <w:bookmarkEnd w:id="30"/>
    <w:bookmarkEnd w:id="31"/>
    <w:bookmarkStart w:id="32" w:name="kesimpulan"/>
    <w:p>
      <w:pPr>
        <w:pStyle w:val="Heading2"/>
      </w:pPr>
      <w:r>
        <w:t xml:space="preserve">Kesimpulan</w:t>
      </w:r>
    </w:p>
    <w:p>
      <w:pPr>
        <w:pStyle w:val="FirstParagraph"/>
      </w:pPr>
      <w:r>
        <w:t xml:space="preserve">Krisis pasokan 2026 memberi satu pelajaran yang bertahan lama: keandalan penyedia mengurangi risiko, tetapi tidak menghapus risiko hulu yang berada di luar kendali distributor mana pun. Karena itu rencana kontingensi yang Anda kelola sendiri, dari register risiko sampai transfer risiko lewat asuransi, layak diperlakukan sebagai infrastruktur permanen, bukan reaksi sesaat setelah insiden. Sebagai anak usaha PGN yang merupakan bagian dari Subholding Gas Pertamina, PGN Gagas menyalurkan CNG</w:t>
      </w:r>
      <w:r>
        <w:t xml:space="preserve"> </w:t>
      </w:r>
      <w:r>
        <w:rPr>
          <w:i/>
          <w:iCs/>
        </w:rPr>
        <w:t xml:space="preserve">beyond-pipeline</w:t>
      </w:r>
      <w:r>
        <w:t xml:space="preserve"> </w:t>
      </w:r>
      <w:r>
        <w:t xml:space="preserve">dengan dukungan layanan 24 jam yang bisa menjadi satu lapis andalan dalam rencana itu, bukan penggantinya.</w:t>
      </w:r>
    </w:p>
    <w:p>
      <w:pPr>
        <w:pStyle w:val="BodyText"/>
      </w:pPr>
      <w:r>
        <w:t xml:space="preserve">Untuk mendiskusikan kesiapan pasokan gas dan opsi kontingensi energi di perusahaan Anda, jelajahi solusinya di gagas.co.id.</w:t>
      </w:r>
      <w:r>
        <w:t xml:space="preserve"> </w:t>
      </w:r>
      <w:r>
        <w:t xml:space="preserve"> </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18"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2026-09-28T13:11:11Z</dcterms:created>
  <dcterms:modified xsi:type="dcterms:W3CDTF">2026-09-28T13:11:11Z</dcterms:modified>
</cp:coreProperties>
</file>

<file path=docProps/custom.xml><?xml version="1.0" encoding="utf-8"?>
<Properties xmlns="http://schemas.openxmlformats.org/officeDocument/2006/custom-properties" xmlns:vt="http://schemas.openxmlformats.org/officeDocument/2006/docPropsVTypes"/>
</file>