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Override PartName="/word/media/image1.png" ContentType="image/png"/>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16" w:name="article-metadata"/>
    <w:p>
      <w:pPr>
        <w:pStyle w:val="Heading1"/>
      </w:pPr>
      <w:r>
        <w:t xml:space="preserve">Article Metadata</w:t>
      </w:r>
    </w:p>
    <w:p>
      <w:pPr>
        <w:pStyle w:val="SourceCode"/>
      </w:pPr>
      <w:r>
        <w:rPr>
          <w:rStyle w:val="FunctionTok"/>
        </w:rPr>
        <w:t xml:space="preserve">title</w:t>
      </w:r>
      <w:r>
        <w:rPr>
          <w:rStyle w:val="KeywordTok"/>
        </w:rPr>
        <w:t xml:space="preserve">:</w:t>
      </w:r>
      <w:r>
        <w:rPr>
          <w:rStyle w:val="AttributeTok"/>
        </w:rPr>
        <w:t xml:space="preserve"> </w:t>
      </w:r>
      <w:r>
        <w:rPr>
          <w:rStyle w:val="StringTok"/>
        </w:rPr>
        <w:t xml:space="preserve">"Data Pemakaian &amp; Lock-in: Hak atas Data dari Perusahaan CNG"</w:t>
      </w:r>
      <w:r>
        <w:br/>
      </w:r>
      <w:r>
        <w:rPr>
          <w:rStyle w:val="FunctionTok"/>
        </w:rPr>
        <w:t xml:space="preserve">meta_title</w:t>
      </w:r>
      <w:r>
        <w:rPr>
          <w:rStyle w:val="KeywordTok"/>
        </w:rPr>
        <w:t xml:space="preserve">:</w:t>
      </w:r>
      <w:r>
        <w:rPr>
          <w:rStyle w:val="AttributeTok"/>
        </w:rPr>
        <w:t xml:space="preserve"> </w:t>
      </w:r>
      <w:r>
        <w:rPr>
          <w:rStyle w:val="StringTok"/>
        </w:rPr>
        <w:t xml:space="preserve">"Perusahaan CNG Indonesia: Hak Data &amp; Anti Lock-in"</w:t>
      </w:r>
      <w:r>
        <w:br/>
      </w:r>
      <w:r>
        <w:rPr>
          <w:rStyle w:val="FunctionTok"/>
        </w:rPr>
        <w:t xml:space="preserve">meta_description</w:t>
      </w:r>
      <w:r>
        <w:rPr>
          <w:rStyle w:val="KeywordTok"/>
        </w:rPr>
        <w:t xml:space="preserve">:</w:t>
      </w:r>
      <w:r>
        <w:rPr>
          <w:rStyle w:val="AttributeTok"/>
        </w:rPr>
        <w:t xml:space="preserve"> </w:t>
      </w:r>
      <w:r>
        <w:rPr>
          <w:rStyle w:val="StringTok"/>
        </w:rPr>
        <w:t xml:space="preserve">"Cara menilai perusahaan CNG Indonesia dari sisi data: siapa pemilik data telemetri, cara integrasi ke EMS/ERP, dan klausul kontrak anti vendor lock-in."</w:t>
      </w:r>
      <w:r>
        <w:br/>
      </w:r>
      <w:r>
        <w:rPr>
          <w:rStyle w:val="FunctionTok"/>
        </w:rPr>
        <w:t xml:space="preserve">slug</w:t>
      </w:r>
      <w:r>
        <w:rPr>
          <w:rStyle w:val="KeywordTok"/>
        </w:rPr>
        <w:t xml:space="preserve">:</w:t>
      </w:r>
      <w:r>
        <w:rPr>
          <w:rStyle w:val="AttributeTok"/>
        </w:rPr>
        <w:t xml:space="preserve"> </w:t>
      </w:r>
      <w:r>
        <w:rPr>
          <w:rStyle w:val="StringTok"/>
        </w:rPr>
        <w:t xml:space="preserve">"perusahaan-cng-indonesia-hak-data-vendor-lock-in"</w:t>
      </w:r>
      <w:r>
        <w:br/>
      </w:r>
      <w:r>
        <w:rPr>
          <w:rStyle w:val="FunctionTok"/>
        </w:rPr>
        <w:t xml:space="preserve">language</w:t>
      </w:r>
      <w:r>
        <w:rPr>
          <w:rStyle w:val="KeywordTok"/>
        </w:rPr>
        <w:t xml:space="preserve">:</w:t>
      </w:r>
      <w:r>
        <w:rPr>
          <w:rStyle w:val="AttributeTok"/>
        </w:rPr>
        <w:t xml:space="preserve"> </w:t>
      </w:r>
      <w:r>
        <w:rPr>
          <w:rStyle w:val="StringTok"/>
        </w:rPr>
        <w:t xml:space="preserve">"id"</w:t>
      </w:r>
      <w:r>
        <w:br/>
      </w:r>
      <w:r>
        <w:rPr>
          <w:rStyle w:val="FunctionTok"/>
        </w:rPr>
        <w:t xml:space="preserve">primary_keyword</w:t>
      </w:r>
      <w:r>
        <w:rPr>
          <w:rStyle w:val="KeywordTok"/>
        </w:rPr>
        <w:t xml:space="preserve">:</w:t>
      </w:r>
      <w:r>
        <w:rPr>
          <w:rStyle w:val="AttributeTok"/>
        </w:rPr>
        <w:t xml:space="preserve"> </w:t>
      </w:r>
      <w:r>
        <w:rPr>
          <w:rStyle w:val="StringTok"/>
        </w:rPr>
        <w:t xml:space="preserve">"Perusahaan CNG Indonesia"</w:t>
      </w:r>
      <w:r>
        <w:br/>
      </w:r>
      <w:r>
        <w:rPr>
          <w:rStyle w:val="FunctionTok"/>
        </w:rPr>
        <w:t xml:space="preserve">secondary_keywords</w:t>
      </w:r>
      <w:r>
        <w:rPr>
          <w:rStyle w:val="KeywordTok"/>
        </w:rPr>
        <w:t xml:space="preserve">:</w:t>
      </w:r>
      <w:r>
        <w:rPr>
          <w:rStyle w:val="AttributeTok"/>
        </w:rPr>
        <w:t xml:space="preserve"> </w:t>
      </w:r>
      <w:r>
        <w:rPr>
          <w:rStyle w:val="KeywordTok"/>
        </w:rPr>
        <w:t xml:space="preserve">[</w:t>
      </w:r>
      <w:r>
        <w:rPr>
          <w:rStyle w:val="StringTok"/>
        </w:rPr>
        <w:t xml:space="preserve">"data pemakaian gas telemetri"</w:t>
      </w:r>
      <w:r>
        <w:rPr>
          <w:rStyle w:val="KeywordTok"/>
        </w:rPr>
        <w:t xml:space="preserve">,</w:t>
      </w:r>
      <w:r>
        <w:rPr>
          <w:rStyle w:val="AttributeTok"/>
        </w:rPr>
        <w:t xml:space="preserve"> </w:t>
      </w:r>
      <w:r>
        <w:rPr>
          <w:rStyle w:val="StringTok"/>
        </w:rPr>
        <w:t xml:space="preserve">"kepemilikan data operasional"</w:t>
      </w:r>
      <w:r>
        <w:rPr>
          <w:rStyle w:val="KeywordTok"/>
        </w:rPr>
        <w:t xml:space="preserve">,</w:t>
      </w:r>
      <w:r>
        <w:rPr>
          <w:rStyle w:val="AttributeTok"/>
        </w:rPr>
        <w:t xml:space="preserve"> </w:t>
      </w:r>
      <w:r>
        <w:rPr>
          <w:rStyle w:val="StringTok"/>
        </w:rPr>
        <w:t xml:space="preserve">"integrasi EMS ERP"</w:t>
      </w:r>
      <w:r>
        <w:rPr>
          <w:rStyle w:val="KeywordTok"/>
        </w:rPr>
        <w:t xml:space="preserve">,</w:t>
      </w:r>
      <w:r>
        <w:rPr>
          <w:rStyle w:val="AttributeTok"/>
        </w:rPr>
        <w:t xml:space="preserve"> </w:t>
      </w:r>
      <w:r>
        <w:rPr>
          <w:rStyle w:val="StringTok"/>
        </w:rPr>
        <w:t xml:space="preserve">"vendor lock-in CNG"</w:t>
      </w:r>
      <w:r>
        <w:rPr>
          <w:rStyle w:val="KeywordTok"/>
        </w:rPr>
        <w:t xml:space="preserve">,</w:t>
      </w:r>
      <w:r>
        <w:rPr>
          <w:rStyle w:val="AttributeTok"/>
        </w:rPr>
        <w:t xml:space="preserve"> </w:t>
      </w:r>
      <w:r>
        <w:rPr>
          <w:rStyle w:val="StringTok"/>
        </w:rPr>
        <w:t xml:space="preserve">"portabilitas data"</w:t>
      </w:r>
      <w:r>
        <w:rPr>
          <w:rStyle w:val="KeywordTok"/>
        </w:rPr>
        <w:t xml:space="preserve">,</w:t>
      </w:r>
      <w:r>
        <w:rPr>
          <w:rStyle w:val="AttributeTok"/>
        </w:rPr>
        <w:t xml:space="preserve"> </w:t>
      </w:r>
      <w:r>
        <w:rPr>
          <w:rStyle w:val="StringTok"/>
        </w:rPr>
        <w:t xml:space="preserve">"Modbus MQTT"</w:t>
      </w:r>
      <w:r>
        <w:rPr>
          <w:rStyle w:val="KeywordTok"/>
        </w:rPr>
        <w:t xml:space="preserve">,</w:t>
      </w:r>
      <w:r>
        <w:rPr>
          <w:rStyle w:val="AttributeTok"/>
        </w:rPr>
        <w:t xml:space="preserve"> </w:t>
      </w:r>
      <w:r>
        <w:rPr>
          <w:rStyle w:val="StringTok"/>
        </w:rPr>
        <w:t xml:space="preserve">"klausul data kontrak gas"</w:t>
      </w:r>
      <w:r>
        <w:rPr>
          <w:rStyle w:val="KeywordTok"/>
        </w:rPr>
        <w:t xml:space="preserve">]</w:t>
      </w:r>
      <w:r>
        <w:br/>
      </w:r>
      <w:r>
        <w:rPr>
          <w:rStyle w:val="FunctionTok"/>
        </w:rPr>
        <w:t xml:space="preserve">internal_links</w:t>
      </w:r>
      <w:r>
        <w:rPr>
          <w:rStyle w:val="KeywordTok"/>
        </w:rPr>
        <w:t xml:space="preserve">:</w:t>
      </w:r>
      <w:r>
        <w:br/>
      </w:r>
      <w:r>
        <w:rPr>
          <w:rStyle w:val="AttributeTok"/>
        </w:rPr>
        <w:t xml:space="preserve">  </w:t>
      </w:r>
      <w:r>
        <w:rPr>
          <w:rStyle w:val="KeywordTok"/>
        </w:rPr>
        <w:t xml:space="preserve">-</w:t>
      </w:r>
      <w:r>
        <w:rPr>
          <w:rStyle w:val="AttributeTok"/>
        </w:rPr>
        <w:t xml:space="preserve"> </w:t>
      </w:r>
      <w:r>
        <w:rPr>
          <w:rStyle w:val="FunctionTok"/>
        </w:rPr>
        <w:t xml:space="preserve">url</w:t>
      </w:r>
      <w:r>
        <w:rPr>
          <w:rStyle w:val="KeywordTok"/>
        </w:rPr>
        <w:t xml:space="preserve">:</w:t>
      </w:r>
      <w:r>
        <w:rPr>
          <w:rStyle w:val="AttributeTok"/>
        </w:rPr>
        <w:t xml:space="preserve"> </w:t>
      </w:r>
      <w:r>
        <w:rPr>
          <w:rStyle w:val="StringTok"/>
        </w:rPr>
        <w:t xml:space="preserve">"https://gagas.co.id/perusahaan-cng-indonesia/"</w:t>
      </w:r>
      <w:r>
        <w:br/>
      </w:r>
      <w:r>
        <w:rPr>
          <w:rStyle w:val="AttributeTok"/>
        </w:rPr>
        <w:t xml:space="preserve">    </w:t>
      </w:r>
      <w:r>
        <w:rPr>
          <w:rStyle w:val="FunctionTok"/>
        </w:rPr>
        <w:t xml:space="preserve">anchor</w:t>
      </w:r>
      <w:r>
        <w:rPr>
          <w:rStyle w:val="KeywordTok"/>
        </w:rPr>
        <w:t xml:space="preserve">:</w:t>
      </w:r>
      <w:r>
        <w:rPr>
          <w:rStyle w:val="AttributeTok"/>
        </w:rPr>
        <w:t xml:space="preserve"> </w:t>
      </w:r>
      <w:r>
        <w:rPr>
          <w:rStyle w:val="StringTok"/>
        </w:rPr>
        <w:t xml:space="preserve">"perusahaan CNG di Indonesia"</w:t>
      </w:r>
      <w:r>
        <w:br/>
      </w:r>
      <w:r>
        <w:rPr>
          <w:rStyle w:val="AttributeTok"/>
        </w:rPr>
        <w:t xml:space="preserve">  </w:t>
      </w:r>
      <w:r>
        <w:rPr>
          <w:rStyle w:val="KeywordTok"/>
        </w:rPr>
        <w:t xml:space="preserve">-</w:t>
      </w:r>
      <w:r>
        <w:rPr>
          <w:rStyle w:val="AttributeTok"/>
        </w:rPr>
        <w:t xml:space="preserve"> </w:t>
      </w:r>
      <w:r>
        <w:rPr>
          <w:rStyle w:val="FunctionTok"/>
        </w:rPr>
        <w:t xml:space="preserve">url</w:t>
      </w:r>
      <w:r>
        <w:rPr>
          <w:rStyle w:val="KeywordTok"/>
        </w:rPr>
        <w:t xml:space="preserve">:</w:t>
      </w:r>
      <w:r>
        <w:rPr>
          <w:rStyle w:val="AttributeTok"/>
        </w:rPr>
        <w:t xml:space="preserve"> </w:t>
      </w:r>
      <w:r>
        <w:rPr>
          <w:rStyle w:val="StringTok"/>
        </w:rPr>
        <w:t xml:space="preserve">"https://gagas.co.id/gaslink/"</w:t>
      </w:r>
      <w:r>
        <w:br/>
      </w:r>
      <w:r>
        <w:rPr>
          <w:rStyle w:val="AttributeTok"/>
        </w:rPr>
        <w:t xml:space="preserve">    </w:t>
      </w:r>
      <w:r>
        <w:rPr>
          <w:rStyle w:val="FunctionTok"/>
        </w:rPr>
        <w:t xml:space="preserve">anchor</w:t>
      </w:r>
      <w:r>
        <w:rPr>
          <w:rStyle w:val="KeywordTok"/>
        </w:rPr>
        <w:t xml:space="preserve">:</w:t>
      </w:r>
      <w:r>
        <w:rPr>
          <w:rStyle w:val="AttributeTok"/>
        </w:rPr>
        <w:t xml:space="preserve"> </w:t>
      </w:r>
      <w:r>
        <w:rPr>
          <w:rStyle w:val="StringTok"/>
        </w:rPr>
        <w:t xml:space="preserve">"layanan Gaslink untuk industri &amp; komersial"</w:t>
      </w:r>
      <w:r>
        <w:br/>
      </w:r>
      <w:r>
        <w:rPr>
          <w:rStyle w:val="AttributeTok"/>
        </w:rPr>
        <w:t xml:space="preserve">  </w:t>
      </w:r>
      <w:r>
        <w:rPr>
          <w:rStyle w:val="KeywordTok"/>
        </w:rPr>
        <w:t xml:space="preserve">-</w:t>
      </w:r>
      <w:r>
        <w:rPr>
          <w:rStyle w:val="AttributeTok"/>
        </w:rPr>
        <w:t xml:space="preserve"> </w:t>
      </w:r>
      <w:r>
        <w:rPr>
          <w:rStyle w:val="FunctionTok"/>
        </w:rPr>
        <w:t xml:space="preserve">url</w:t>
      </w:r>
      <w:r>
        <w:rPr>
          <w:rStyle w:val="KeywordTok"/>
        </w:rPr>
        <w:t xml:space="preserve">:</w:t>
      </w:r>
      <w:r>
        <w:rPr>
          <w:rStyle w:val="AttributeTok"/>
        </w:rPr>
        <w:t xml:space="preserve"> </w:t>
      </w:r>
      <w:r>
        <w:rPr>
          <w:rStyle w:val="StringTok"/>
        </w:rPr>
        <w:t xml:space="preserve">"https://gagas.co.id/perusahaan-lng-indonesia/"</w:t>
      </w:r>
      <w:r>
        <w:br/>
      </w:r>
      <w:r>
        <w:rPr>
          <w:rStyle w:val="AttributeTok"/>
        </w:rPr>
        <w:t xml:space="preserve">    </w:t>
      </w:r>
      <w:r>
        <w:rPr>
          <w:rStyle w:val="FunctionTok"/>
        </w:rPr>
        <w:t xml:space="preserve">anchor</w:t>
      </w:r>
      <w:r>
        <w:rPr>
          <w:rStyle w:val="KeywordTok"/>
        </w:rPr>
        <w:t xml:space="preserve">:</w:t>
      </w:r>
      <w:r>
        <w:rPr>
          <w:rStyle w:val="AttributeTok"/>
        </w:rPr>
        <w:t xml:space="preserve"> </w:t>
      </w:r>
      <w:r>
        <w:rPr>
          <w:rStyle w:val="StringTok"/>
        </w:rPr>
        <w:t xml:space="preserve">"pasokan LNG untuk kebutuhan volume besar"</w:t>
      </w:r>
      <w:r>
        <w:br/>
      </w:r>
      <w:r>
        <w:rPr>
          <w:rStyle w:val="FunctionTok"/>
        </w:rPr>
        <w:t xml:space="preserve">external_citations</w:t>
      </w:r>
      <w:r>
        <w:rPr>
          <w:rStyle w:val="KeywordTok"/>
        </w:rPr>
        <w:t xml:space="preserve">:</w:t>
      </w:r>
      <w:r>
        <w:br/>
      </w:r>
      <w:r>
        <w:rPr>
          <w:rStyle w:val="AttributeTok"/>
        </w:rPr>
        <w:t xml:space="preserve">  </w:t>
      </w:r>
      <w:r>
        <w:rPr>
          <w:rStyle w:val="KeywordTok"/>
        </w:rPr>
        <w:t xml:space="preserve">-</w:t>
      </w:r>
      <w:r>
        <w:rPr>
          <w:rStyle w:val="AttributeTok"/>
        </w:rPr>
        <w:t xml:space="preserve"> </w:t>
      </w:r>
      <w:r>
        <w:rPr>
          <w:rStyle w:val="FunctionTok"/>
        </w:rPr>
        <w:t xml:space="preserve">url</w:t>
      </w:r>
      <w:r>
        <w:rPr>
          <w:rStyle w:val="KeywordTok"/>
        </w:rPr>
        <w:t xml:space="preserve">:</w:t>
      </w:r>
      <w:r>
        <w:rPr>
          <w:rStyle w:val="AttributeTok"/>
        </w:rPr>
        <w:t xml:space="preserve"> </w:t>
      </w:r>
      <w:r>
        <w:rPr>
          <w:rStyle w:val="StringTok"/>
        </w:rPr>
        <w:t xml:space="preserve">"https://peraturan.bpk.go.id/Details/229798/uu-no-27-tahun-2022"</w:t>
      </w:r>
      <w:r>
        <w:br/>
      </w:r>
      <w:r>
        <w:rPr>
          <w:rStyle w:val="AttributeTok"/>
        </w:rPr>
        <w:t xml:space="preserve">    </w:t>
      </w:r>
      <w:r>
        <w:rPr>
          <w:rStyle w:val="FunctionTok"/>
        </w:rPr>
        <w:t xml:space="preserve">context</w:t>
      </w:r>
      <w:r>
        <w:rPr>
          <w:rStyle w:val="KeywordTok"/>
        </w:rPr>
        <w:t xml:space="preserve">:</w:t>
      </w:r>
      <w:r>
        <w:rPr>
          <w:rStyle w:val="AttributeTok"/>
        </w:rPr>
        <w:t xml:space="preserve"> </w:t>
      </w:r>
      <w:r>
        <w:rPr>
          <w:rStyle w:val="StringTok"/>
        </w:rPr>
        <w:t xml:space="preserve">"Definisi 'data pribadi' (Pasal 1 UU No. 27/2022) sebagai dasar bahwa data pemakaian gas badan usaha umumnya di luar cakupan UU PDP"</w:t>
      </w:r>
      <w:r>
        <w:br/>
      </w:r>
      <w:r>
        <w:rPr>
          <w:rStyle w:val="AttributeTok"/>
        </w:rPr>
        <w:t xml:space="preserve">  </w:t>
      </w:r>
      <w:r>
        <w:rPr>
          <w:rStyle w:val="KeywordTok"/>
        </w:rPr>
        <w:t xml:space="preserve">-</w:t>
      </w:r>
      <w:r>
        <w:rPr>
          <w:rStyle w:val="AttributeTok"/>
        </w:rPr>
        <w:t xml:space="preserve"> </w:t>
      </w:r>
      <w:r>
        <w:rPr>
          <w:rStyle w:val="FunctionTok"/>
        </w:rPr>
        <w:t xml:space="preserve">url</w:t>
      </w:r>
      <w:r>
        <w:rPr>
          <w:rStyle w:val="KeywordTok"/>
        </w:rPr>
        <w:t xml:space="preserve">:</w:t>
      </w:r>
      <w:r>
        <w:rPr>
          <w:rStyle w:val="AttributeTok"/>
        </w:rPr>
        <w:t xml:space="preserve"> </w:t>
      </w:r>
      <w:r>
        <w:rPr>
          <w:rStyle w:val="StringTok"/>
        </w:rPr>
        <w:t xml:space="preserve">"https://migas.esdm.go.id/post/Surat-Edaran-Penggunaan-Sistem-Ukur-pada-Kegiatan-Migas"</w:t>
      </w:r>
      <w:r>
        <w:br/>
      </w:r>
      <w:r>
        <w:rPr>
          <w:rStyle w:val="AttributeTok"/>
        </w:rPr>
        <w:t xml:space="preserve">    </w:t>
      </w:r>
      <w:r>
        <w:rPr>
          <w:rStyle w:val="FunctionTok"/>
        </w:rPr>
        <w:t xml:space="preserve">context</w:t>
      </w:r>
      <w:r>
        <w:rPr>
          <w:rStyle w:val="KeywordTok"/>
        </w:rPr>
        <w:t xml:space="preserve">:</w:t>
      </w:r>
      <w:r>
        <w:rPr>
          <w:rStyle w:val="AttributeTok"/>
        </w:rPr>
        <w:t xml:space="preserve"> </w:t>
      </w:r>
      <w:r>
        <w:rPr>
          <w:rStyle w:val="StringTok"/>
        </w:rPr>
        <w:t xml:space="preserve">"Regulasi Ditjen Migas mengatur akurasi alat ukur gas &amp; tanggung jawab badan usaha, bukan portabilitas data"</w:t>
      </w:r>
      <w:r>
        <w:br/>
      </w:r>
      <w:r>
        <w:rPr>
          <w:rStyle w:val="AttributeTok"/>
        </w:rPr>
        <w:t xml:space="preserve">  </w:t>
      </w:r>
      <w:r>
        <w:rPr>
          <w:rStyle w:val="KeywordTok"/>
        </w:rPr>
        <w:t xml:space="preserve">-</w:t>
      </w:r>
      <w:r>
        <w:rPr>
          <w:rStyle w:val="AttributeTok"/>
        </w:rPr>
        <w:t xml:space="preserve"> </w:t>
      </w:r>
      <w:r>
        <w:rPr>
          <w:rStyle w:val="FunctionTok"/>
        </w:rPr>
        <w:t xml:space="preserve">url</w:t>
      </w:r>
      <w:r>
        <w:rPr>
          <w:rStyle w:val="KeywordTok"/>
        </w:rPr>
        <w:t xml:space="preserve">:</w:t>
      </w:r>
      <w:r>
        <w:rPr>
          <w:rStyle w:val="AttributeTok"/>
        </w:rPr>
        <w:t xml:space="preserve"> </w:t>
      </w:r>
      <w:r>
        <w:rPr>
          <w:rStyle w:val="StringTok"/>
        </w:rPr>
        <w:t xml:space="preserve">"https://www.iea.org/reports/digitalisation-and-energy"</w:t>
      </w:r>
      <w:r>
        <w:br/>
      </w:r>
      <w:r>
        <w:rPr>
          <w:rStyle w:val="AttributeTok"/>
        </w:rPr>
        <w:t xml:space="preserve">    </w:t>
      </w:r>
      <w:r>
        <w:rPr>
          <w:rStyle w:val="FunctionTok"/>
        </w:rPr>
        <w:t xml:space="preserve">context</w:t>
      </w:r>
      <w:r>
        <w:rPr>
          <w:rStyle w:val="KeywordTok"/>
        </w:rPr>
        <w:t xml:space="preserve">:</w:t>
      </w:r>
      <w:r>
        <w:rPr>
          <w:rStyle w:val="AttributeTok"/>
        </w:rPr>
        <w:t xml:space="preserve"> </w:t>
      </w:r>
      <w:r>
        <w:rPr>
          <w:rStyle w:val="StringTok"/>
        </w:rPr>
        <w:t xml:space="preserve">"Kepemilikan &amp; privasi data sebagai isu kebijakan utama digitalisasi sektor energi"</w:t>
      </w:r>
      <w:r>
        <w:br/>
      </w:r>
      <w:r>
        <w:rPr>
          <w:rStyle w:val="FunctionTok"/>
        </w:rPr>
        <w:t xml:space="preserve">brief_id</w:t>
      </w:r>
      <w:r>
        <w:rPr>
          <w:rStyle w:val="KeywordTok"/>
        </w:rPr>
        <w:t xml:space="preserve">:</w:t>
      </w:r>
      <w:r>
        <w:rPr>
          <w:rStyle w:val="AttributeTok"/>
        </w:rPr>
        <w:t xml:space="preserve"> </w:t>
      </w:r>
      <w:r>
        <w:rPr>
          <w:rStyle w:val="StringTok"/>
        </w:rPr>
        <w:t xml:space="preserve">"perusahaan-cng-indonesia-03"</w:t>
      </w:r>
      <w:r>
        <w:br/>
      </w:r>
      <w:r>
        <w:rPr>
          <w:rStyle w:val="FunctionTok"/>
        </w:rPr>
        <w:t xml:space="preserve">target_word_count</w:t>
      </w:r>
      <w:r>
        <w:rPr>
          <w:rStyle w:val="KeywordTok"/>
        </w:rPr>
        <w:t xml:space="preserve">:</w:t>
      </w:r>
      <w:r>
        <w:rPr>
          <w:rStyle w:val="AttributeTok"/>
        </w:rPr>
        <w:t xml:space="preserve"> </w:t>
      </w:r>
      <w:r>
        <w:rPr>
          <w:rStyle w:val="DecValTok"/>
        </w:rPr>
        <w:t xml:space="preserve">1400</w:t>
      </w:r>
      <w:r>
        <w:br/>
      </w:r>
      <w:r>
        <w:rPr>
          <w:rStyle w:val="FunctionTok"/>
        </w:rPr>
        <w:t xml:space="preserve">publish_month</w:t>
      </w:r>
      <w:r>
        <w:rPr>
          <w:rStyle w:val="KeywordTok"/>
        </w:rPr>
        <w:t xml:space="preserve">:</w:t>
      </w:r>
      <w:r>
        <w:rPr>
          <w:rStyle w:val="AttributeTok"/>
        </w:rPr>
        <w:t xml:space="preserve"> </w:t>
      </w:r>
      <w:r>
        <w:rPr>
          <w:rStyle w:val="StringTok"/>
        </w:rPr>
        <w:t xml:space="preserve">"2026-10"</w:t>
      </w:r>
      <w:r>
        <w:br/>
      </w:r>
      <w:r>
        <w:rPr>
          <w:rStyle w:val="FunctionTok"/>
        </w:rPr>
        <w:t xml:space="preserve">date_modified</w:t>
      </w:r>
      <w:r>
        <w:rPr>
          <w:rStyle w:val="KeywordTok"/>
        </w:rPr>
        <w:t xml:space="preserve">:</w:t>
      </w:r>
      <w:r>
        <w:rPr>
          <w:rStyle w:val="AttributeTok"/>
        </w:rPr>
        <w:t xml:space="preserve"> </w:t>
      </w:r>
      <w:r>
        <w:rPr>
          <w:rStyle w:val="StringTok"/>
        </w:rPr>
        <w:t xml:space="preserve">"2026-09-28"</w:t>
      </w:r>
      <w:r>
        <w:br/>
      </w:r>
      <w:r>
        <w:rPr>
          <w:rStyle w:val="FunctionTok"/>
        </w:rPr>
        <w:t xml:space="preserve">word_count</w:t>
      </w:r>
      <w:r>
        <w:rPr>
          <w:rStyle w:val="KeywordTok"/>
        </w:rPr>
        <w:t xml:space="preserve">:</w:t>
      </w:r>
      <w:r>
        <w:rPr>
          <w:rStyle w:val="AttributeTok"/>
        </w:rPr>
        <w:t xml:space="preserve"> </w:t>
      </w:r>
      <w:r>
        <w:rPr>
          <w:rStyle w:val="DecValTok"/>
        </w:rPr>
        <w:t xml:space="preserve">1600</w:t>
      </w:r>
    </w:p>
    <w:p>
      <w:r>
        <w:pict>
          <v:rect style="width:0;height:1.5pt" o:hralign="center" o:hrstd="t" o:hr="t"/>
        </w:pict>
      </w:r>
    </w:p>
    <w:bookmarkEnd w:id="16"/>
    <w:bookmarkStart w:id="36" w:name="X726e3e8801ec6fb7ddd3671bffb00788d56187c"/>
    <w:p>
      <w:pPr>
        <w:pStyle w:val="Heading1"/>
      </w:pPr>
      <w:r>
        <w:t xml:space="preserve">Data Pemakaian &amp; Lock-in: Hak atas Data dari Perusahaan CNG</w:t>
      </w:r>
    </w:p>
    <w:p>
      <w:pPr>
        <w:pStyle w:val="FirstParagraph"/>
      </w:pPr>
      <w:r>
        <w:t xml:space="preserve">Begitu sebuah penyedia memasang sensor telemetri di lokasi Anda, ada cerita rinci yang mengalir keluar tiap hari: kapan lini produksi menyala, berapa konsumsi tiap shift, kapan tekanan gas turun. Data itu berharga. Namun pertanyaan yang jarang diajukan pembeli saat memilih</w:t>
      </w:r>
      <w:r>
        <w:t xml:space="preserve"> </w:t>
      </w:r>
      <w:hyperlink r:id="rId17">
        <w:r>
          <w:rPr>
            <w:rStyle w:val="Hyperlink"/>
          </w:rPr>
          <w:t xml:space="preserve">perusahaan CNG di Indonesia</w:t>
        </w:r>
      </w:hyperlink>
      <w:r>
        <w:t xml:space="preserve"> </w:t>
      </w:r>
      <w:r>
        <w:t xml:space="preserve">adalah: data itu milik siapa, bisakah saya menariknya keluar, dan apakah saya jadi terkunci pada satu pemasok (</w:t>
      </w:r>
      <w:r>
        <w:rPr>
          <w:i/>
          <w:iCs/>
        </w:rPr>
        <w:t xml:space="preserve">vendor lock-in</w:t>
      </w:r>
      <w:r>
        <w:t xml:space="preserve">) karenanya? Artikel ini membahas tata kelola data telemetri pasokan CNG (</w:t>
      </w:r>
      <w:r>
        <w:rPr>
          <w:i/>
          <w:iCs/>
        </w:rPr>
        <w:t xml:space="preserve">Compressed Natural Gas</w:t>
      </w:r>
      <w:r>
        <w:t xml:space="preserve">) dari sudut pembeli, bukan penjual perangkat: soal kepemilikan, integrasi ke sistem internal, dan menyusun kontrak agar Anda tetap bebas berpindah.</w:t>
      </w:r>
    </w:p>
    <w:p>
      <w:pPr>
        <w:pStyle w:val="BlockText"/>
      </w:pPr>
      <w:r>
        <w:rPr>
          <w:b/>
          <w:bCs/>
        </w:rPr>
        <w:t xml:space="preserve">Ringkasnya:</w:t>
      </w:r>
      <w:r>
        <w:t xml:space="preserve"> </w:t>
      </w:r>
      <w:r>
        <w:t xml:space="preserve">Data telemetri pasokan CNG adalah rekaman digital otomatis dari sensor di lokasi pelanggan, mencakup volume gas, tekanan, dan waktu pengiriman, yang dikirim penyedia secara real-time untuk penjadwalan pasokan dan penagihan berbasis pemakaian aktual. Karena bernilai strategis bagi pembeli, hak akses, kepemilikan, dan portabilitasnya perlu diatur jelas dalam kontrak.</w:t>
      </w:r>
    </w:p>
    <w:p>
      <w:pPr>
        <w:pStyle w:val="FirstParagraph"/>
      </w:pPr>
      <w:r>
        <w:rPr>
          <w:i/>
          <w:iCs/>
        </w:rPr>
        <w:t xml:space="preserve">[Image 01: Diagram alur horizontal</w:t>
      </w:r>
      <w:r>
        <w:rPr>
          <w:i/>
          <w:iCs/>
        </w:rPr>
        <w:t xml:space="preserve"> </w:t>
      </w:r>
      <w:r>
        <w:rPr>
          <w:i/>
          <w:iCs/>
        </w:rPr>
        <w:t xml:space="preserve">“Dari Sensor ke Sistem Anda”</w:t>
      </w:r>
      <w:r>
        <w:rPr>
          <w:i/>
          <w:iCs/>
        </w:rPr>
        <w:t xml:space="preserve">: sensor IoT di PRS/meter, sistem penyedia CNG (penjadwalan &amp; penagihan), ikon gembok</w:t>
      </w:r>
      <w:r>
        <w:rPr>
          <w:i/>
          <w:iCs/>
        </w:rPr>
        <w:t xml:space="preserve"> </w:t>
      </w:r>
      <w:r>
        <w:rPr>
          <w:i/>
          <w:iCs/>
        </w:rPr>
        <w:t xml:space="preserve">“Bisa diekspor?”</w:t>
      </w:r>
      <w:r>
        <w:rPr>
          <w:i/>
          <w:iCs/>
        </w:rPr>
        <w:t xml:space="preserve">, lalu EMS/ERP/BMS pelanggan. Flat-infographic biru-hijau, teks Bahasa Indonesia. alt: alur data telemetri perusahaan CNG ke sistem internal]</w:t>
      </w:r>
    </w:p>
    <w:bookmarkStart w:id="18" w:name="X4726877b161fec1a71581edd541800a66cb1317"/>
    <w:p>
      <w:pPr>
        <w:pStyle w:val="Heading2"/>
      </w:pPr>
      <w:r>
        <w:t xml:space="preserve">Data Apa yang Dihasilkan Penyedia CNG tentang Bisnis Anda?</w:t>
      </w:r>
    </w:p>
    <w:p>
      <w:pPr>
        <w:pStyle w:val="FirstParagraph"/>
      </w:pPr>
      <w:r>
        <w:t xml:space="preserve">Penyedia CNG modern memantau lokasi Anda lewat sensor: volume gas terpakai, tekanan di titik ukur, jadwal pengisian ulang, dan pola konsumsi per shift. Gabungan data ini menggambarkan ritme operasional bisnis Anda secara rinci, bukan sekadar angka tagihan. Justru karena bernilai strategis itulah hak atas data perlu diperjelas sejak awal.</w:t>
      </w:r>
    </w:p>
    <w:p>
      <w:pPr>
        <w:pStyle w:val="BodyText"/>
      </w:pPr>
      <w:r>
        <w:t xml:space="preserve">Empat jenis data paling lazim terekam: volume pemakaian (kerap sampai resolusi harian), tekanan sebagai indikator kesehatan pasokan, jadwal pengiriman yang memetakan siklus operasi, dan estimasi emisi untuk pelaporan keberlanjutan. Dikumpulkan bertahun-tahun, kombinasi ini bahkan bisa membandingkan efisiensi antarpabrik.</w:t>
      </w:r>
    </w:p>
    <w:p>
      <w:pPr>
        <w:pStyle w:val="BodyText"/>
      </w:pPr>
      <w:r>
        <w:t xml:space="preserve">Penyedia yang menagih berbasis telemetri otomatis memegang rekaman detail ini. PGN Gagas, misalnya, menyatakan memakai sensor berbasis IoT untuk mengukur sisa volume dan tekanan gas di lokasi pelanggan secara real-time, dengan penagihan</w:t>
      </w:r>
      <w:r>
        <w:t xml:space="preserve"> </w:t>
      </w:r>
      <w:r>
        <w:rPr>
          <w:i/>
          <w:iCs/>
        </w:rPr>
        <w:t xml:space="preserve">smart meter</w:t>
      </w:r>
      <w:r>
        <w:t xml:space="preserve"> </w:t>
      </w:r>
      <w:r>
        <w:t xml:space="preserve">atas pemakaian aktual (gagas.co.id, 2026). Justru alasan kuat untuk memperjelas hak data di kontrak, bukan untuk curiga.</w:t>
      </w:r>
    </w:p>
    <w:bookmarkEnd w:id="18"/>
    <w:bookmarkStart w:id="21" w:name="Xa36e3736bcceef3f069252cb121b955e11875b2"/>
    <w:p>
      <w:pPr>
        <w:pStyle w:val="Heading2"/>
      </w:pPr>
      <w:r>
        <w:t xml:space="preserve">Data Telemetri Itu Milik Pelanggan atau Penyedia?</w:t>
      </w:r>
    </w:p>
    <w:p>
      <w:pPr>
        <w:pStyle w:val="FirstParagraph"/>
      </w:pPr>
      <w:r>
        <w:t xml:space="preserve">Secara praktis, tidak ada jawaban otomatis dari undang-undang. Berdasarkan definisi UU No. 27 Tahun 2022, data pemakaian gas sebuah badan usaha pada umumnya bukan</w:t>
      </w:r>
      <w:r>
        <w:t xml:space="preserve"> </w:t>
      </w:r>
      <w:r>
        <w:t xml:space="preserve">“data pribadi”</w:t>
      </w:r>
      <w:r>
        <w:t xml:space="preserve">, sehingga kepemilikan dan hak ekspornya tidak diatur langsung oleh regulasi itu. Konsekuensinya, status data ini harus ditetapkan hitam-putih dalam kontrak, bukan diasumsikan.</w:t>
      </w:r>
    </w:p>
    <w:p>
      <w:pPr>
        <w:pStyle w:val="BodyText"/>
      </w:pPr>
      <w:r>
        <w:t xml:space="preserve">Bedakan dulu data operasional dari data pribadi.</w:t>
      </w:r>
      <w:r>
        <w:t xml:space="preserve"> </w:t>
      </w:r>
      <w:hyperlink r:id="rId19">
        <w:r>
          <w:rPr>
            <w:rStyle w:val="Hyperlink"/>
          </w:rPr>
          <w:t xml:space="preserve">UU No. 27 Tahun 2022 tentang Pelindungan Data Pribadi</w:t>
        </w:r>
      </w:hyperlink>
      <w:r>
        <w:t xml:space="preserve"> </w:t>
      </w:r>
      <w:r>
        <w:t xml:space="preserve">(UU PDP) mendefinisikan data pribadi sebagai data orang perseorangan yang teridentifikasi (Pasal 1). Data pemakaian gas milik pabrik atau hotel jelas bukan itu, sehingga tidak otomatis terlindungi maupun otomatis memberi Anda hak ekspor bawaan.</w:t>
      </w:r>
    </w:p>
    <w:p>
      <w:pPr>
        <w:pStyle w:val="BodyText"/>
      </w:pPr>
      <w:r>
        <w:t xml:space="preserve">Hukum kita memang sudah mengenal gagasan portabilitas: UU PDP Pasal 8 memberi individu hak memindahkan datanya ke pengendali lain. Tapi hak itu khusus data pribadi perseorangan, bukan data komersial badan usaha; pakai sebagai analogi konseptual saja, bukan dasar hukum menuntut ekspor data telemetri B2B. Untuk urusan bisnis, kontraklah instrumen Anda.</w:t>
      </w:r>
    </w:p>
    <w:p>
      <w:pPr>
        <w:pStyle w:val="BlockText"/>
      </w:pPr>
      <w:r>
        <w:t xml:space="preserve">Kepemilikan dan privasi data adalah kekhawatiran utama seiring makin banyaknya data rinci dari perangkat terhubung, catat IEA dalam laporan</w:t>
      </w:r>
      <w:r>
        <w:t xml:space="preserve"> </w:t>
      </w:r>
      <w:hyperlink r:id="rId20">
        <w:r>
          <w:rPr>
            <w:rStyle w:val="Hyperlink"/>
            <w:i/>
            <w:iCs/>
          </w:rPr>
          <w:t xml:space="preserve">Digitalisation and Energy</w:t>
        </w:r>
      </w:hyperlink>
      <w:r>
        <w:t xml:space="preserve">. Bagi pembeli gas, artinya satu hal konkret: cantumkan siapa pemilik data pemakaian secara eksplisit di kontrak, sebelum tanda tangan.</w:t>
      </w:r>
    </w:p>
    <w:p>
      <w:pPr>
        <w:pStyle w:val="FirstParagraph"/>
      </w:pPr>
      <w:r>
        <w:rPr>
          <w:i/>
          <w:iCs/>
        </w:rPr>
        <w:t xml:space="preserve">[Image 02: Empat kartu berjajar</w:t>
      </w:r>
      <w:r>
        <w:rPr>
          <w:i/>
          <w:iCs/>
        </w:rPr>
        <w:t xml:space="preserve"> </w:t>
      </w:r>
      <w:r>
        <w:rPr>
          <w:i/>
          <w:iCs/>
        </w:rPr>
        <w:t xml:space="preserve">“Laporan Manual”</w:t>
      </w:r>
      <w:r>
        <w:rPr>
          <w:i/>
          <w:iCs/>
        </w:rPr>
        <w:t xml:space="preserve">,</w:t>
      </w:r>
      <w:r>
        <w:rPr>
          <w:i/>
          <w:iCs/>
        </w:rPr>
        <w:t xml:space="preserve"> </w:t>
      </w:r>
      <w:r>
        <w:rPr>
          <w:i/>
          <w:iCs/>
        </w:rPr>
        <w:t xml:space="preserve">“Modbus”</w:t>
      </w:r>
      <w:r>
        <w:rPr>
          <w:i/>
          <w:iCs/>
        </w:rPr>
        <w:t xml:space="preserve">,</w:t>
      </w:r>
      <w:r>
        <w:rPr>
          <w:i/>
          <w:iCs/>
        </w:rPr>
        <w:t xml:space="preserve"> </w:t>
      </w:r>
      <w:r>
        <w:rPr>
          <w:i/>
          <w:iCs/>
        </w:rPr>
        <w:t xml:space="preserve">“MQTT”</w:t>
      </w:r>
      <w:r>
        <w:rPr>
          <w:i/>
          <w:iCs/>
        </w:rPr>
        <w:t xml:space="preserve">,</w:t>
      </w:r>
      <w:r>
        <w:rPr>
          <w:i/>
          <w:iCs/>
        </w:rPr>
        <w:t xml:space="preserve"> </w:t>
      </w:r>
      <w:r>
        <w:rPr>
          <w:i/>
          <w:iCs/>
        </w:rPr>
        <w:t xml:space="preserve">“API/Web Service”</w:t>
      </w:r>
      <w:r>
        <w:rPr>
          <w:i/>
          <w:iCs/>
        </w:rPr>
        <w:t xml:space="preserve">, tiap kartu satu ikon, satu baris cara kerja, satu baris</w:t>
      </w:r>
      <w:r>
        <w:rPr>
          <w:i/>
          <w:iCs/>
        </w:rPr>
        <w:t xml:space="preserve"> </w:t>
      </w:r>
      <w:r>
        <w:rPr>
          <w:i/>
          <w:iCs/>
        </w:rPr>
        <w:t xml:space="preserve">“cocok untuk”</w:t>
      </w:r>
      <w:r>
        <w:rPr>
          <w:i/>
          <w:iCs/>
        </w:rPr>
        <w:t xml:space="preserve">. Ringkas dan mudah di-screenshot, palet biru-hijau, teks Bahasa Indonesia. alt: perbandingan protokol integrasi data telemetri gas]</w:t>
      </w:r>
    </w:p>
    <w:bookmarkEnd w:id="21"/>
    <w:bookmarkStart w:id="23" w:name="menyatukan-data-gas-dengan-emserp-anda"/>
    <w:p>
      <w:pPr>
        <w:pStyle w:val="Heading2"/>
      </w:pPr>
      <w:r>
        <w:t xml:space="preserve">Menyatukan Data Gas dengan EMS/ERP Anda</w:t>
      </w:r>
    </w:p>
    <w:p>
      <w:pPr>
        <w:pStyle w:val="FirstParagraph"/>
      </w:pPr>
      <w:r>
        <w:t xml:space="preserve">Menyatukan data telemetri gas dengan sistem internal berarti mengalirkannya ke</w:t>
      </w:r>
      <w:r>
        <w:t xml:space="preserve"> </w:t>
      </w:r>
      <w:r>
        <w:rPr>
          <w:i/>
          <w:iCs/>
        </w:rPr>
        <w:t xml:space="preserve">Energy Management System</w:t>
      </w:r>
      <w:r>
        <w:t xml:space="preserve"> </w:t>
      </w:r>
      <w:r>
        <w:t xml:space="preserve">(EMS), ERP, atau</w:t>
      </w:r>
      <w:r>
        <w:t xml:space="preserve"> </w:t>
      </w:r>
      <w:r>
        <w:rPr>
          <w:i/>
          <w:iCs/>
        </w:rPr>
        <w:t xml:space="preserve">Building Management System</w:t>
      </w:r>
      <w:r>
        <w:t xml:space="preserve"> </w:t>
      </w:r>
      <w:r>
        <w:t xml:space="preserve">(BMS) lewat protokol standar. Dua yang paling lazim adalah Modbus dan MQTT. Sebelum berharap terintegrasi, tanyakan ke penyedia protokol dan format data apa yang benar-benar didukung, karena praktiknya berbeda-beda.</w:t>
      </w:r>
    </w:p>
    <w:p>
      <w:pPr>
        <w:pStyle w:val="BodyText"/>
      </w:pPr>
      <w:r>
        <w:t xml:space="preserve">Mengapa repot? Karena data yang mengalir otomatis adalah bahan bakar sistem manajemen energi. Standar ISO 50001:2018 pun mensyaratkan pemantauan dan pengumpulan data berkelanjutan, bukan tebakan bulanan. Data ini paling padat pada pasokan CNG untuk pabrik dan gedung komersial, seperti pada</w:t>
      </w:r>
      <w:r>
        <w:t xml:space="preserve"> </w:t>
      </w:r>
      <w:hyperlink r:id="rId22">
        <w:r>
          <w:rPr>
            <w:rStyle w:val="Hyperlink"/>
          </w:rPr>
          <w:t xml:space="preserve">layanan Gaslink untuk industri &amp; komersial</w:t>
        </w:r>
      </w:hyperlink>
      <w:r>
        <w:t xml:space="preserve">, tempat telemetri jadi dasar penjadwalan dan penagihan.</w:t>
      </w:r>
    </w:p>
    <w:p>
      <w:pPr>
        <w:pStyle w:val="BodyText"/>
      </w:pPr>
      <w:r>
        <w:t xml:space="preserve">Yang sering terlupa: data operasional yang mengalir keluar juga permukaan serangan siber. Standar seperti IEC 62443 untuk keamanan sistem kendali industri ada justru untuk ini, jadi masukkan keamanan data ke daftar tanya, bukan hanya konektivitas.</w:t>
      </w:r>
    </w:p>
    <w:tbl>
      <w:tblPr>
        <w:tblStyle w:val="Table"/>
        <w:tblW w:type="pct" w:w="5000"/>
        <w:tblLayout w:type="fixed"/>
        <w:tblLook w:firstRow="1" w:lastRow="0" w:firstColumn="0" w:lastColumn="0" w:noHBand="0" w:noVBand="0" w:val="0020"/>
      </w:tblPr>
      <w:tblGrid>
        <w:gridCol w:w="2640"/>
        <w:gridCol w:w="2640"/>
        <w:gridCol w:w="2640"/>
      </w:tblGrid>
      <w:tr>
        <w:trPr>
          <w:tblHeader w:val="on"/>
        </w:trPr>
        <w:tc>
          <w:tcPr/>
          <w:p>
            <w:pPr>
              <w:pStyle w:val="Compact"/>
            </w:pPr>
            <w:r>
              <w:t xml:space="preserve">Metode</w:t>
            </w:r>
          </w:p>
        </w:tc>
        <w:tc>
          <w:tcPr/>
          <w:p>
            <w:pPr>
              <w:pStyle w:val="Compact"/>
            </w:pPr>
            <w:r>
              <w:t xml:space="preserve">Cara kerja singkat</w:t>
            </w:r>
          </w:p>
        </w:tc>
        <w:tc>
          <w:tcPr/>
          <w:p>
            <w:pPr>
              <w:pStyle w:val="Compact"/>
            </w:pPr>
            <w:r>
              <w:t xml:space="preserve">Paling cocok untuk</w:t>
            </w:r>
          </w:p>
        </w:tc>
      </w:tr>
      <w:tr>
        <w:tc>
          <w:tcPr/>
          <w:p>
            <w:pPr>
              <w:pStyle w:val="Compact"/>
            </w:pPr>
            <w:r>
              <w:t xml:space="preserve">Laporan berkala (PDF/Excel)</w:t>
            </w:r>
          </w:p>
        </w:tc>
        <w:tc>
          <w:tcPr/>
          <w:p>
            <w:pPr>
              <w:pStyle w:val="Compact"/>
            </w:pPr>
            <w:r>
              <w:t xml:space="preserve">Ringkasan dikirim manual per periode</w:t>
            </w:r>
          </w:p>
        </w:tc>
        <w:tc>
          <w:tcPr/>
          <w:p>
            <w:pPr>
              <w:pStyle w:val="Compact"/>
            </w:pPr>
            <w:r>
              <w:t xml:space="preserve">Skala kecil; tidak real-time</w:t>
            </w:r>
          </w:p>
        </w:tc>
      </w:tr>
      <w:tr>
        <w:tc>
          <w:tcPr/>
          <w:p>
            <w:pPr>
              <w:pStyle w:val="Compact"/>
            </w:pPr>
            <w:r>
              <w:t xml:space="preserve">Modbus</w:t>
            </w:r>
          </w:p>
        </w:tc>
        <w:tc>
          <w:tcPr/>
          <w:p>
            <w:pPr>
              <w:pStyle w:val="Compact"/>
            </w:pPr>
            <w:r>
              <w:t xml:space="preserve">Sistem Anda</w:t>
            </w:r>
            <w:r>
              <w:t xml:space="preserve"> </w:t>
            </w:r>
            <w:r>
              <w:t xml:space="preserve">“menarik”</w:t>
            </w:r>
            <w:r>
              <w:t xml:space="preserve"> </w:t>
            </w:r>
            <w:r>
              <w:t xml:space="preserve">data dari meter/PLC</w:t>
            </w:r>
          </w:p>
        </w:tc>
        <w:tc>
          <w:tcPr/>
          <w:p>
            <w:pPr>
              <w:pStyle w:val="Compact"/>
            </w:pPr>
            <w:r>
              <w:t xml:space="preserve">Integrasi ke SCADA/BMS dengan perangkat lawas</w:t>
            </w:r>
          </w:p>
        </w:tc>
      </w:tr>
      <w:tr>
        <w:tc>
          <w:tcPr/>
          <w:p>
            <w:pPr>
              <w:pStyle w:val="Compact"/>
            </w:pPr>
            <w:r>
              <w:t xml:space="preserve">MQTT</w:t>
            </w:r>
          </w:p>
        </w:tc>
        <w:tc>
          <w:tcPr/>
          <w:p>
            <w:pPr>
              <w:pStyle w:val="Compact"/>
            </w:pPr>
            <w:r>
              <w:t xml:space="preserve">Sensor</w:t>
            </w:r>
            <w:r>
              <w:t xml:space="preserve"> </w:t>
            </w:r>
            <w:r>
              <w:t xml:space="preserve">“mendorong”</w:t>
            </w:r>
            <w:r>
              <w:t xml:space="preserve"> </w:t>
            </w:r>
            <w:r>
              <w:t xml:space="preserve">data ringan saat berubah</w:t>
            </w:r>
          </w:p>
        </w:tc>
        <w:tc>
          <w:tcPr/>
          <w:p>
            <w:pPr>
              <w:pStyle w:val="Compact"/>
            </w:pPr>
            <w:r>
              <w:t xml:space="preserve">Banyak titik ukur, sensor IoT, bandwidth terbatas</w:t>
            </w:r>
          </w:p>
        </w:tc>
      </w:tr>
      <w:tr>
        <w:tc>
          <w:tcPr/>
          <w:p>
            <w:pPr>
              <w:pStyle w:val="Compact"/>
            </w:pPr>
            <w:r>
              <w:t xml:space="preserve">API /</w:t>
            </w:r>
            <w:r>
              <w:t xml:space="preserve"> </w:t>
            </w:r>
            <w:r>
              <w:rPr>
                <w:i/>
                <w:iCs/>
              </w:rPr>
              <w:t xml:space="preserve">web service</w:t>
            </w:r>
          </w:p>
        </w:tc>
        <w:tc>
          <w:tcPr/>
          <w:p>
            <w:pPr>
              <w:pStyle w:val="Compact"/>
            </w:pPr>
            <w:r>
              <w:t xml:space="preserve">Pertukaran data terstruktur (JSON/XML)</w:t>
            </w:r>
          </w:p>
        </w:tc>
        <w:tc>
          <w:tcPr/>
          <w:p>
            <w:pPr>
              <w:pStyle w:val="Compact"/>
            </w:pPr>
            <w:r>
              <w:t xml:space="preserve">ERP/EMS cloud; ketersediaan wajib ditanyakan</w:t>
            </w:r>
          </w:p>
        </w:tc>
      </w:tr>
    </w:tbl>
    <w:p>
      <w:pPr>
        <w:pStyle w:val="BodyText"/>
      </w:pPr>
      <w:r>
        <w:t xml:space="preserve">Modbus sudah menjadi standar terbuka sejak 2004, sementara MQTT disahkan sebagai standar internasional ISO/IEC 20922:2016 untuk telemetri IoT. Tabel ini menjelaskan protokol yang lazim secara umum, bukan spesifikasi resmi satu penyedia CNG; konfirmasikan apa yang benar-benar didukung.</w:t>
      </w:r>
    </w:p>
    <w:bookmarkEnd w:id="23"/>
    <w:bookmarkStart w:id="24" w:name="X24e55cfc98f21156be0ed30058d6d0c4eb19dc4"/>
    <w:p>
      <w:pPr>
        <w:pStyle w:val="Heading2"/>
      </w:pPr>
      <w:r>
        <w:t xml:space="preserve">Cukup Laporan Bulanan atau Perlu Integrasi Penuh?</w:t>
      </w:r>
    </w:p>
    <w:p>
      <w:pPr>
        <w:pStyle w:val="FirstParagraph"/>
      </w:pPr>
      <w:r>
        <w:t xml:space="preserve">Jawabannya bergantung pada skala, bukan gengsi teknologi. Bila Anda mengelola satu atau dua lokasi dan energi bukan pos biaya utama, laporan pemakaian berkala biasanya cukup. Integrasi EMS/API penuh baru sepadan ketika operasi tersebar di banyak lokasi atau energi menjadi biaya signifikan yang perlu dipantau nyaris real-time.</w:t>
      </w:r>
    </w:p>
    <w:p>
      <w:pPr>
        <w:pStyle w:val="BodyText"/>
      </w:pPr>
      <w:r>
        <w:t xml:space="preserve">Sinyal bahwa laporan berkala sudah cukup:</w:t>
      </w:r>
    </w:p>
    <w:p>
      <w:pPr>
        <w:pStyle w:val="Compact"/>
        <w:numPr>
          <w:ilvl w:val="0"/>
          <w:numId w:val="1001"/>
        </w:numPr>
      </w:pPr>
      <w:r>
        <w:t xml:space="preserve">Anda mengelola 1–2 lokasi atau titik ukur.</w:t>
      </w:r>
    </w:p>
    <w:p>
      <w:pPr>
        <w:pStyle w:val="Compact"/>
        <w:numPr>
          <w:ilvl w:val="0"/>
          <w:numId w:val="1001"/>
        </w:numPr>
      </w:pPr>
      <w:r>
        <w:t xml:space="preserve">Energi bukan komponen biaya operasional utama.</w:t>
      </w:r>
    </w:p>
    <w:p>
      <w:pPr>
        <w:pStyle w:val="Compact"/>
        <w:numPr>
          <w:ilvl w:val="0"/>
          <w:numId w:val="1001"/>
        </w:numPr>
      </w:pPr>
      <w:r>
        <w:t xml:space="preserve">Belum ada EMS/BMS/ERP yang akan memakai data granular.</w:t>
      </w:r>
    </w:p>
    <w:p>
      <w:pPr>
        <w:pStyle w:val="FirstParagraph"/>
      </w:pPr>
      <w:r>
        <w:t xml:space="preserve">Sinyal bahwa integrasi penuh sepadan:</w:t>
      </w:r>
    </w:p>
    <w:p>
      <w:pPr>
        <w:pStyle w:val="Compact"/>
        <w:numPr>
          <w:ilvl w:val="0"/>
          <w:numId w:val="1002"/>
        </w:numPr>
      </w:pPr>
      <w:r>
        <w:t xml:space="preserve">Banyak lokasi perlu dipantau terpusat.</w:t>
      </w:r>
    </w:p>
    <w:p>
      <w:pPr>
        <w:pStyle w:val="Compact"/>
        <w:numPr>
          <w:ilvl w:val="0"/>
          <w:numId w:val="1002"/>
        </w:numPr>
      </w:pPr>
      <w:r>
        <w:t xml:space="preserve">Energi adalah pos biaya signifikan yang ingin dioptimasi aktif.</w:t>
      </w:r>
    </w:p>
    <w:p>
      <w:pPr>
        <w:pStyle w:val="Compact"/>
        <w:numPr>
          <w:ilvl w:val="0"/>
          <w:numId w:val="1002"/>
        </w:numPr>
      </w:pPr>
      <w:r>
        <w:t xml:space="preserve">Perlu deteksi anomali nyaris real-time, dan tim internal siap mengelolanya.</w:t>
      </w:r>
    </w:p>
    <w:p>
      <w:pPr>
        <w:pStyle w:val="FirstParagraph"/>
      </w:pPr>
      <w:r>
        <w:t xml:space="preserve">Kejujuran yang jarang disampaikan: belum ada angka titik impas baku, dalam Rupiah atau bulan</w:t>
      </w:r>
      <w:r>
        <w:t xml:space="preserve"> </w:t>
      </w:r>
      <w:r>
        <w:rPr>
          <w:i/>
          <w:iCs/>
        </w:rPr>
        <w:t xml:space="preserve">payback</w:t>
      </w:r>
      <w:r>
        <w:t xml:space="preserve">, untuk integrasi data pasokan CNG di Indonesia. Kerangka ini kualitatif; nilainya ditimbang dari biaya integrasi Anda sendiri terhadap penghematan realistis, bukan disalin dari klaim ROI brosur.</w:t>
      </w:r>
    </w:p>
    <w:bookmarkEnd w:id="24"/>
    <w:bookmarkStart w:id="27" w:name="X5c3b31b970361c47617a185f4a5f42928b3e95a"/>
    <w:p>
      <w:pPr>
        <w:pStyle w:val="Heading2"/>
      </w:pPr>
      <w:r>
        <w:t xml:space="preserve">Menghindari Vendor Lock-in: Klausul yang Sering Terlewat</w:t>
      </w:r>
    </w:p>
    <w:p>
      <w:pPr>
        <w:pStyle w:val="FirstParagraph"/>
      </w:pPr>
      <w:r>
        <w:t xml:space="preserve">Vendor lock-in pada pasokan CNG jarang datang dari larangan pindah; pasar Indonesia justru punya banyak pemain. Ia datang dari hilangnya riwayat data historis dan format tertutup saat Anda ingin berganti penyedia. Kuncinya: negosiasikan klausul kepemilikan, ekspor, dan</w:t>
      </w:r>
      <w:r>
        <w:t xml:space="preserve"> </w:t>
      </w:r>
      <w:r>
        <w:rPr>
          <w:i/>
          <w:iCs/>
        </w:rPr>
        <w:t xml:space="preserve">handover</w:t>
      </w:r>
      <w:r>
        <w:t xml:space="preserve"> </w:t>
      </w:r>
      <w:r>
        <w:t xml:space="preserve">data sejak sebelum tanda tangan, bukan saat sudah ingin keluar.</w:t>
      </w:r>
    </w:p>
    <w:p>
      <w:pPr>
        <w:pStyle w:val="BodyText"/>
      </w:pPr>
      <w:r>
        <w:t xml:space="preserve">Posisi tawar pembeli sedang kuat. Per semester II-2025 tercatat 53 perusahaan pemegang izin niaga CNG di Indonesia, naik dari 33 pada semester sebelumnya (data Kementerian ESDM, via Bloomberg Technoz). Banyak alternatif berarti Anda bisa menuntut klausul yang adil, tapi tak ada data berapa yang benar-benar menyediakan ekspor data mandiri, jadi tanyakan, jangan asumsikan.</w:t>
      </w:r>
    </w:p>
    <w:p>
      <w:pPr>
        <w:pStyle w:val="BodyText"/>
      </w:pPr>
      <w:r>
        <w:t xml:space="preserve">Lock-in yang sesungguhnya kerap lebih halus dari perangkat keras. Anda bisa memasang meter dan PRS (</w:t>
      </w:r>
      <w:r>
        <w:rPr>
          <w:i/>
          <w:iCs/>
        </w:rPr>
        <w:t xml:space="preserve">Pressure Reduction Station</w:t>
      </w:r>
      <w:r>
        <w:t xml:space="preserve">) baru dari penyedia lain, tapi riwayat pemakaian bertahun-tahun yang terkunci di format lama adalah biaya peralihan nyata yang baru terasa saat ingin pindah. Soal siapa memiliki aset meter dan PRS pun tak berjawab baku:</w:t>
      </w:r>
      <w:r>
        <w:t xml:space="preserve"> </w:t>
      </w:r>
      <w:hyperlink r:id="rId25">
        <w:r>
          <w:rPr>
            <w:rStyle w:val="Hyperlink"/>
          </w:rPr>
          <w:t xml:space="preserve">regulasi Ditjen Migas</w:t>
        </w:r>
      </w:hyperlink>
      <w:r>
        <w:t xml:space="preserve"> </w:t>
      </w:r>
      <w:r>
        <w:t xml:space="preserve">menaruh tanggung jawab akurasi alat ukur pada badan usaha penyalur, sisanya ranah negosiasi. Pertimbangan serupa berlaku bila Anda juga mengelola</w:t>
      </w:r>
      <w:r>
        <w:t xml:space="preserve"> </w:t>
      </w:r>
      <w:hyperlink r:id="rId26">
        <w:r>
          <w:rPr>
            <w:rStyle w:val="Hyperlink"/>
          </w:rPr>
          <w:t xml:space="preserve">pasokan LNG untuk kebutuhan volume besar</w:t>
        </w:r>
      </w:hyperlink>
      <w:r>
        <w:t xml:space="preserve">.</w:t>
      </w:r>
    </w:p>
    <w:p>
      <w:pPr>
        <w:pStyle w:val="BodyText"/>
      </w:pPr>
      <w:r>
        <w:rPr>
          <w:i/>
          <w:iCs/>
        </w:rPr>
        <w:t xml:space="preserve">[Image 03: Kartu checklist</w:t>
      </w:r>
      <w:r>
        <w:rPr>
          <w:i/>
          <w:iCs/>
        </w:rPr>
        <w:t xml:space="preserve"> </w:t>
      </w:r>
      <w:r>
        <w:rPr>
          <w:i/>
          <w:iCs/>
        </w:rPr>
        <w:t xml:space="preserve">“5 Klausul Data Wajib dalam Kontrak CNG”</w:t>
      </w:r>
      <w:r>
        <w:rPr>
          <w:i/>
          <w:iCs/>
        </w:rPr>
        <w:t xml:space="preserve"> </w:t>
      </w:r>
      <w:r>
        <w:rPr>
          <w:i/>
          <w:iCs/>
        </w:rPr>
        <w:t xml:space="preserve">dengan ikon centang: kepemilikan data, hak &amp; format ekspor, frekuensi akses, keamanan siber, handover saat kontrak berakhir. Gaya kartu actionable biru-putih, teks Bahasa Indonesia. alt: checklist klausul data kontrak perusahaan CNG anti vendor lock-in]</w:t>
      </w:r>
    </w:p>
    <w:p>
      <w:pPr>
        <w:pStyle w:val="BodyText"/>
      </w:pPr>
      <w:r>
        <w:t xml:space="preserve">Lima klausul yang paling sering terlewat, sebaiknya masuk sejak awal:</w:t>
      </w:r>
    </w:p>
    <w:p>
      <w:pPr>
        <w:pStyle w:val="Compact"/>
        <w:numPr>
          <w:ilvl w:val="0"/>
          <w:numId w:val="1003"/>
        </w:numPr>
      </w:pPr>
      <w:r>
        <w:rPr>
          <w:b/>
          <w:bCs/>
        </w:rPr>
        <w:t xml:space="preserve">Kepemilikan data</w:t>
      </w:r>
      <w:r>
        <w:t xml:space="preserve"> </w:t>
      </w:r>
      <w:r>
        <w:t xml:space="preserve">pemakaian dinyatakan tegas milik Anda.</w:t>
      </w:r>
    </w:p>
    <w:p>
      <w:pPr>
        <w:pStyle w:val="Compact"/>
        <w:numPr>
          <w:ilvl w:val="0"/>
          <w:numId w:val="1003"/>
        </w:numPr>
      </w:pPr>
      <w:r>
        <w:rPr>
          <w:b/>
          <w:bCs/>
        </w:rPr>
        <w:t xml:space="preserve">Hak dan format ekspor</w:t>
      </w:r>
      <w:r>
        <w:t xml:space="preserve"> </w:t>
      </w:r>
      <w:r>
        <w:t xml:space="preserve">data (PDF, CSV, JSON, atau API).</w:t>
      </w:r>
    </w:p>
    <w:p>
      <w:pPr>
        <w:pStyle w:val="Compact"/>
        <w:numPr>
          <w:ilvl w:val="0"/>
          <w:numId w:val="1003"/>
        </w:numPr>
      </w:pPr>
      <w:r>
        <w:rPr>
          <w:b/>
          <w:bCs/>
        </w:rPr>
        <w:t xml:space="preserve">Frekuensi akses</w:t>
      </w:r>
      <w:r>
        <w:t xml:space="preserve"> </w:t>
      </w:r>
      <w:r>
        <w:t xml:space="preserve">dan pembaruan data.</w:t>
      </w:r>
    </w:p>
    <w:p>
      <w:pPr>
        <w:pStyle w:val="Compact"/>
        <w:numPr>
          <w:ilvl w:val="0"/>
          <w:numId w:val="1003"/>
        </w:numPr>
      </w:pPr>
      <w:r>
        <w:rPr>
          <w:b/>
          <w:bCs/>
        </w:rPr>
        <w:t xml:space="preserve">Keamanan siber</w:t>
      </w:r>
      <w:r>
        <w:t xml:space="preserve"> </w:t>
      </w:r>
      <w:r>
        <w:t xml:space="preserve">data operasional.</w:t>
      </w:r>
    </w:p>
    <w:p>
      <w:pPr>
        <w:pStyle w:val="Compact"/>
        <w:numPr>
          <w:ilvl w:val="0"/>
          <w:numId w:val="1003"/>
        </w:numPr>
      </w:pPr>
      <w:r>
        <w:rPr>
          <w:b/>
          <w:bCs/>
        </w:rPr>
        <w:t xml:space="preserve">Handover data</w:t>
      </w:r>
      <w:r>
        <w:t xml:space="preserve"> </w:t>
      </w:r>
      <w:r>
        <w:t xml:space="preserve">saat kontrak berakhir, termasuk nasib aset meter/PRS.</w:t>
      </w:r>
    </w:p>
    <w:p>
      <w:pPr>
        <w:pStyle w:val="FirstParagraph"/>
      </w:pPr>
      <w:r>
        <w:t xml:space="preserve">Bagian yang jarang ditulis kompetitor: banyak usaha kecil sama sekali tidak butuh integrasi ini. Bila energi bukan pos biaya utama dan laporan berkala sudah jelas, memaksakan API dan EMS hanya menambah kompleksitas tak terpakai. Mintalah hak atas data Anda; belum tentu perlu membangun infrastruktur untuk mengolahnya.</w:t>
      </w:r>
    </w:p>
    <w:bookmarkEnd w:id="27"/>
    <w:bookmarkStart w:id="34" w:name="faq-pertanyaan-yang-sering-diajukan"/>
    <w:p>
      <w:pPr>
        <w:pStyle w:val="Heading2"/>
      </w:pPr>
      <w:r>
        <w:t xml:space="preserve">FAQ (Pertanyaan yang Sering Diajukan)</w:t>
      </w:r>
    </w:p>
    <w:bookmarkStart w:id="28" w:name="Xb61951e115df3f455ad018b2772f1f37ffe0afd"/>
    <w:p>
      <w:pPr>
        <w:pStyle w:val="Heading3"/>
      </w:pPr>
      <w:r>
        <w:t xml:space="preserve">Apakah data pemakaian gas dari telemetri milik pelanggan atau penyedia?</w:t>
      </w:r>
    </w:p>
    <w:p>
      <w:pPr>
        <w:pStyle w:val="FirstParagraph"/>
      </w:pPr>
      <w:r>
        <w:t xml:space="preserve">Berdasarkan definisi UU No. 27/2022, data pemakaian gas badan usaha umumnya bukan</w:t>
      </w:r>
      <w:r>
        <w:t xml:space="preserve"> </w:t>
      </w:r>
      <w:r>
        <w:t xml:space="preserve">“data pribadi”</w:t>
      </w:r>
      <w:r>
        <w:t xml:space="preserve">, jadi kepemilikannya tidak diatur otomatis oleh undang-undang. Hak akses dan ekspornya bergantung pada klausul kontrak, jadi pastikan kontrak menyebut eksplisit siapa pemilik data operasional ini.</w:t>
      </w:r>
    </w:p>
    <w:bookmarkEnd w:id="28"/>
    <w:bookmarkStart w:id="29" w:name="X356af6577f2908410fd5d5af75a2e6370575016"/>
    <w:p>
      <w:pPr>
        <w:pStyle w:val="Heading3"/>
      </w:pPr>
      <w:r>
        <w:t xml:space="preserve">Bagaimana cara mengekspor data telemetri dari penyedia CNG?</w:t>
      </w:r>
    </w:p>
    <w:p>
      <w:pPr>
        <w:pStyle w:val="FirstParagraph"/>
      </w:pPr>
      <w:r>
        <w:t xml:space="preserve">Belum ada mekanisme seragam di industri CNG Indonesia; praktiknya bervariasi, dari laporan PDF/Excel, portal dashboard, hingga API, dan sebagian penyedia mungkin belum menawarkannya. Tanyakan format ekspor, frekuensi pembaruan, dan akses data historis setelah kontrak berakhir, sebelum tanda tangan.</w:t>
      </w:r>
    </w:p>
    <w:bookmarkEnd w:id="29"/>
    <w:bookmarkStart w:id="30" w:name="Xd7dc3b02f56ebdd492c3bf4293940d1925a21c4"/>
    <w:p>
      <w:pPr>
        <w:pStyle w:val="Heading3"/>
      </w:pPr>
      <w:r>
        <w:t xml:space="preserve">Protokol apa yang umum dipakai untuk integrasi data energi?</w:t>
      </w:r>
    </w:p>
    <w:p>
      <w:pPr>
        <w:pStyle w:val="FirstParagraph"/>
      </w:pPr>
      <w:r>
        <w:t xml:space="preserve">Dua yang lazim adalah Modbus, standar terbuka sejak 2004 untuk perangkat SCADA/PLC lama, dan MQTT, protokol ringan berstandar ISO/IEC 20922:2016 untuk sensor IoT. API berbasis web juga umum. Protokol yang benar-benar didukung tetap harus dikonfirmasi ke tiap penyedia.</w:t>
      </w:r>
    </w:p>
    <w:bookmarkEnd w:id="30"/>
    <w:bookmarkStart w:id="31" w:name="X30cab5cd8eff0382e6870a938aac3dfc42f8dcf"/>
    <w:p>
      <w:pPr>
        <w:pStyle w:val="Heading3"/>
      </w:pPr>
      <w:r>
        <w:t xml:space="preserve">Apa itu vendor lock-in pada pasokan CNG dan bagaimana menghindarinya?</w:t>
      </w:r>
    </w:p>
    <w:p>
      <w:pPr>
        <w:pStyle w:val="FirstParagraph"/>
      </w:pPr>
      <w:r>
        <w:t xml:space="preserve">Vendor lock-in adalah kondisi sulit berpindah penyedia karena ketergantungan aset atau format data tertutup, bukan karena tak ada alternatif; per semester II-2025 ada 53 pemegang izin niaga CNG di Indonesia. Hindari dengan meminta klausul portabilitas dan handover data sejak awal kontrak.</w:t>
      </w:r>
    </w:p>
    <w:bookmarkEnd w:id="31"/>
    <w:bookmarkStart w:id="32" w:name="X92fd5fac849310a70413156fec071826e260ac6"/>
    <w:p>
      <w:pPr>
        <w:pStyle w:val="Heading3"/>
      </w:pPr>
      <w:r>
        <w:t xml:space="preserve">Apakah bisnis kecil perlu integrasi EMS penuh?</w:t>
      </w:r>
    </w:p>
    <w:p>
      <w:pPr>
        <w:pStyle w:val="FirstParagraph"/>
      </w:pPr>
      <w:r>
        <w:t xml:space="preserve">Tidak selalu. Sejalan dengan prinsip ISO 50001, kedalaman pemantauan sebaiknya proporsional dengan signifikansi energi. Bisnis satu atau dua lokasi dengan energi bukan biaya utama umumnya cukup laporan berkala; integrasi EMS/API lebih bernilai untuk operasi multi-lokasi atau energi berbiaya besar.</w:t>
      </w:r>
    </w:p>
    <w:bookmarkEnd w:id="32"/>
    <w:bookmarkStart w:id="33" w:name="Xf1e4433b776a5a366f55d9f3b728289008851ac"/>
    <w:p>
      <w:pPr>
        <w:pStyle w:val="Heading3"/>
      </w:pPr>
      <w:r>
        <w:t xml:space="preserve">Klausul data apa saja yang wajib ada di kontrak pasokan CNG?</w:t>
      </w:r>
    </w:p>
    <w:p>
      <w:pPr>
        <w:pStyle w:val="FirstParagraph"/>
      </w:pPr>
      <w:r>
        <w:t xml:space="preserve">Minimal lima: pernyataan tegas kepemilikan data pemakaian, hak serta format ekspor data, frekuensi akses dan pembaruan, ketentuan keamanan siber data operasional, dan klausul</w:t>
      </w:r>
      <w:r>
        <w:t xml:space="preserve"> </w:t>
      </w:r>
      <w:r>
        <w:rPr>
          <w:i/>
          <w:iCs/>
        </w:rPr>
        <w:t xml:space="preserve">handover</w:t>
      </w:r>
      <w:r>
        <w:t xml:space="preserve"> </w:t>
      </w:r>
      <w:r>
        <w:t xml:space="preserve">data saat kontrak berakhir. Kelimanya jarang otomatis ada di kontrak standar, jadi mintalah eksplisit sebelum tanda tangan, bukan setelah masalah muncul.</w:t>
      </w:r>
    </w:p>
    <w:bookmarkEnd w:id="33"/>
    <w:bookmarkEnd w:id="34"/>
    <w:bookmarkStart w:id="35" w:name="kesimpulan"/>
    <w:p>
      <w:pPr>
        <w:pStyle w:val="Heading2"/>
      </w:pPr>
      <w:r>
        <w:t xml:space="preserve">Kesimpulan</w:t>
      </w:r>
    </w:p>
    <w:p>
      <w:pPr>
        <w:pStyle w:val="FirstParagraph"/>
      </w:pPr>
      <w:r>
        <w:t xml:space="preserve">Kembali ke pertanyaan awal: data telemetri dari lokasi Anda terlalu berharga untuk dibiarkan tanpa aturan. Kejelasan siapa pemiliknya, bagaimana mengekspornya, dan apa yang terjadi saat kontrak berakhir bukan detail teknis, melainkan penentu apakah Anda bebas atau terkunci saat memilih perusahaan CNG. Sebagai anak usaha PGN yang merupakan bagian dari Subholding Gas Pertamina, PGN Gagas menyalurkan CNG</w:t>
      </w:r>
      <w:r>
        <w:t xml:space="preserve"> </w:t>
      </w:r>
      <w:r>
        <w:rPr>
          <w:i/>
          <w:iCs/>
        </w:rPr>
        <w:t xml:space="preserve">beyond-pipeline</w:t>
      </w:r>
      <w:r>
        <w:t xml:space="preserve"> </w:t>
      </w:r>
      <w:r>
        <w:t xml:space="preserve">dengan pemantauan pemakaian yang akurat serta sertifikasi ISO 9001, 45001, dan 37001 (2025).</w:t>
      </w:r>
    </w:p>
    <w:p>
      <w:pPr>
        <w:pStyle w:val="BodyText"/>
      </w:pPr>
      <w:r>
        <w:t xml:space="preserve">Untuk mendiskusikan kebutuhan pasokan CNG dan kejelasan hak data operasional di perusahaan Anda, kunjungi gagas.co.id.</w:t>
      </w:r>
    </w:p>
    <w:bookmarkEnd w:id="35"/>
    <w:bookmarkEnd w:id="36"/>
    <w:sectPr>
      <w:pgSz w:h="16834" w:orient="portrait" w:w="11909"/>
      <w:pgMar w:bottom="1440" w:footer="720" w:header="720" w:left="1440" w:right="1440" w:top="1440"/>
      <w:pgNumType w:start="1"/>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Calibri"/>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http://schemas.microsoft.com/office/tasks/2019/documenttasks" xmlns:a="http://schemas.openxmlformats.org/drawingml/2006/main" xmlns:c="http://schemas.openxmlformats.org/drawingml/2006/chart" xmlns:cr="http://schemas.microsoft.com/office/comments/2020/reactions" xmlns:dgm="http://schemas.openxmlformats.org/drawingml/2006/diagram" xmlns:lc="http://schemas.openxmlformats.org/drawingml/2006/lockedCanvas" xmlns:m="http://schemas.openxmlformats.org/officeDocument/2006/math" xmlns:mc="http://schemas.openxmlformats.org/markup-compatibility/2006" xmlns:o="urn:schemas-microsoft-com:office:office" xmlns:pic="http://schemas.openxmlformats.org/drawingml/2006/picture" xmlns:r="http://schemas.openxmlformats.org/officeDocument/2006/relationships" xmlns:sl="http://schemas.openxmlformats.org/schemaLibrary/2006/main" xmlns:v="urn:schemas-microsoft-com:vml" xmlns:w="http://schemas.openxmlformats.org/wordprocessingml/2006/main" xmlns:w10="urn:schemas-microsoft-com:office:word" xmlns:w14="http://schemas.microsoft.com/office/word/2010/wordml" xmlns:w15="http://schemas.microsoft.com/office/word/2012/wordml" xmlns:w16="http://schemas.microsoft.com/office/word/2018/wordml" xmlns:w16cex="http://schemas.microsoft.com/office/word/2018/wordml/cex" xmlns:w16cid="http://schemas.microsoft.com/office/word/2016/wordml/cid" xmlns:wne="http://schemas.microsoft.com/office/word/2006/wordml" xmlns:wp="http://schemas.openxmlformats.org/drawingml/2006/wordprocessingDrawing" xmlns:wpg="http://schemas.microsoft.com/office/word/2010/wordprocessingGroup" xmlns:wps="http://schemas.microsoft.com/office/word/2010/wordprocessingShape">
  <w:abstractNum w:abstractNumId="1">
    <w:lvl w:ilvl="0">
      <w:start w:val="1"/>
      <w:numFmt w:val="bullet"/>
      <w:lvlText w:val="●"/>
      <w:lvlJc w:val="left"/>
      <w:pPr>
        <w:ind w:hanging="360" w:left="720"/>
      </w:pPr>
      <w:rPr>
        <w:rFonts w:ascii="Arial" w:cs="Arial" w:eastAsia="Arial" w:hAnsi="Arial"/>
        <w:u w:val="none"/>
      </w:rPr>
    </w:lvl>
    <w:lvl w:ilvl="1">
      <w:start w:val="1"/>
      <w:numFmt w:val="bullet"/>
      <w:lvlText w:val="○"/>
      <w:lvlJc w:val="left"/>
      <w:pPr>
        <w:ind w:hanging="360" w:left="1440"/>
      </w:pPr>
      <w:rPr>
        <w:u w:val="none"/>
      </w:rPr>
    </w:lvl>
    <w:lvl w:ilvl="2">
      <w:start w:val="1"/>
      <w:numFmt w:val="bullet"/>
      <w:lvlText w:val="■"/>
      <w:lvlJc w:val="left"/>
      <w:pPr>
        <w:ind w:hanging="360" w:left="2160"/>
      </w:pPr>
      <w:rPr>
        <w:u w:val="none"/>
      </w:rPr>
    </w:lvl>
    <w:lvl w:ilvl="3">
      <w:start w:val="1"/>
      <w:numFmt w:val="bullet"/>
      <w:lvlText w:val="●"/>
      <w:lvlJc w:val="left"/>
      <w:pPr>
        <w:ind w:hanging="360" w:left="2880"/>
      </w:pPr>
      <w:rPr>
        <w:u w:val="none"/>
      </w:rPr>
    </w:lvl>
    <w:lvl w:ilvl="4">
      <w:start w:val="1"/>
      <w:numFmt w:val="bullet"/>
      <w:lvlText w:val="○"/>
      <w:lvlJc w:val="left"/>
      <w:pPr>
        <w:ind w:hanging="360" w:left="3600"/>
      </w:pPr>
      <w:rPr>
        <w:u w:val="none"/>
      </w:rPr>
    </w:lvl>
    <w:lvl w:ilvl="5">
      <w:start w:val="1"/>
      <w:numFmt w:val="bullet"/>
      <w:lvlText w:val="■"/>
      <w:lvlJc w:val="left"/>
      <w:pPr>
        <w:ind w:hanging="360" w:left="4320"/>
      </w:pPr>
      <w:rPr>
        <w:u w:val="none"/>
      </w:rPr>
    </w:lvl>
    <w:lvl w:ilvl="6">
      <w:start w:val="1"/>
      <w:numFmt w:val="bullet"/>
      <w:lvlText w:val="●"/>
      <w:lvlJc w:val="left"/>
      <w:pPr>
        <w:ind w:hanging="360" w:left="5040"/>
      </w:pPr>
      <w:rPr>
        <w:u w:val="none"/>
      </w:rPr>
    </w:lvl>
    <w:lvl w:ilvl="7">
      <w:start w:val="1"/>
      <w:numFmt w:val="bullet"/>
      <w:lvlText w:val="○"/>
      <w:lvlJc w:val="left"/>
      <w:pPr>
        <w:ind w:hanging="360" w:left="5760"/>
      </w:pPr>
      <w:rPr>
        <w:u w:val="none"/>
      </w:rPr>
    </w:lvl>
    <w:lvl w:ilvl="8">
      <w:start w:val="1"/>
      <w:numFmt w:val="bullet"/>
      <w:lvlText w:val="■"/>
      <w:lvlJc w:val="left"/>
      <w:pPr>
        <w:ind w:hanging="360" w:left="6480"/>
      </w:pPr>
      <w:rPr>
        <w:u w:val="none"/>
      </w:rPr>
    </w:lvl>
  </w:abstractNum>
  <w:abstractNum w:abstractNumId="2">
    <w:lvl w:ilvl="0">
      <w:start w:val="1"/>
      <w:numFmt w:val="bullet"/>
      <w:lvlText w:val="●"/>
      <w:lvlJc w:val="left"/>
      <w:pPr>
        <w:ind w:hanging="360" w:left="720"/>
      </w:pPr>
      <w:rPr>
        <w:rFonts w:ascii="Arial" w:cs="Arial" w:eastAsia="Arial" w:hAnsi="Arial"/>
        <w:u w:val="none"/>
      </w:rPr>
    </w:lvl>
    <w:lvl w:ilvl="1">
      <w:start w:val="1"/>
      <w:numFmt w:val="bullet"/>
      <w:lvlText w:val="○"/>
      <w:lvlJc w:val="left"/>
      <w:pPr>
        <w:ind w:hanging="360" w:left="1440"/>
      </w:pPr>
      <w:rPr>
        <w:u w:val="none"/>
      </w:rPr>
    </w:lvl>
    <w:lvl w:ilvl="2">
      <w:start w:val="1"/>
      <w:numFmt w:val="bullet"/>
      <w:lvlText w:val="■"/>
      <w:lvlJc w:val="left"/>
      <w:pPr>
        <w:ind w:hanging="360" w:left="2160"/>
      </w:pPr>
      <w:rPr>
        <w:u w:val="none"/>
      </w:rPr>
    </w:lvl>
    <w:lvl w:ilvl="3">
      <w:start w:val="1"/>
      <w:numFmt w:val="bullet"/>
      <w:lvlText w:val="●"/>
      <w:lvlJc w:val="left"/>
      <w:pPr>
        <w:ind w:hanging="360" w:left="2880"/>
      </w:pPr>
      <w:rPr>
        <w:u w:val="none"/>
      </w:rPr>
    </w:lvl>
    <w:lvl w:ilvl="4">
      <w:start w:val="1"/>
      <w:numFmt w:val="bullet"/>
      <w:lvlText w:val="○"/>
      <w:lvlJc w:val="left"/>
      <w:pPr>
        <w:ind w:hanging="360" w:left="3600"/>
      </w:pPr>
      <w:rPr>
        <w:u w:val="none"/>
      </w:rPr>
    </w:lvl>
    <w:lvl w:ilvl="5">
      <w:start w:val="1"/>
      <w:numFmt w:val="bullet"/>
      <w:lvlText w:val="■"/>
      <w:lvlJc w:val="left"/>
      <w:pPr>
        <w:ind w:hanging="360" w:left="4320"/>
      </w:pPr>
      <w:rPr>
        <w:u w:val="none"/>
      </w:rPr>
    </w:lvl>
    <w:lvl w:ilvl="6">
      <w:start w:val="1"/>
      <w:numFmt w:val="bullet"/>
      <w:lvlText w:val="●"/>
      <w:lvlJc w:val="left"/>
      <w:pPr>
        <w:ind w:hanging="360" w:left="5040"/>
      </w:pPr>
      <w:rPr>
        <w:u w:val="none"/>
      </w:rPr>
    </w:lvl>
    <w:lvl w:ilvl="7">
      <w:start w:val="1"/>
      <w:numFmt w:val="bullet"/>
      <w:lvlText w:val="○"/>
      <w:lvlJc w:val="left"/>
      <w:pPr>
        <w:ind w:hanging="360" w:left="5760"/>
      </w:pPr>
      <w:rPr>
        <w:u w:val="none"/>
      </w:rPr>
    </w:lvl>
    <w:lvl w:ilvl="8">
      <w:start w:val="1"/>
      <w:numFmt w:val="bullet"/>
      <w:lvlText w:val="■"/>
      <w:lvlJc w:val="left"/>
      <w:pPr>
        <w:ind w:hanging="360" w:left="6480"/>
      </w:pPr>
      <w:rPr>
        <w:u w:val="none"/>
      </w:rPr>
    </w:lvl>
  </w:abstractNum>
  <w:abstractNum w:abstractNumId="3">
    <w:lvl w:ilvl="0">
      <w:start w:val="1"/>
      <w:numFmt w:val="bullet"/>
      <w:lvlText w:val="●"/>
      <w:lvlJc w:val="left"/>
      <w:pPr>
        <w:ind w:hanging="360" w:left="720"/>
      </w:pPr>
      <w:rPr>
        <w:rFonts w:ascii="Arial" w:cs="Arial" w:eastAsia="Arial" w:hAnsi="Arial"/>
        <w:u w:val="none"/>
      </w:rPr>
    </w:lvl>
    <w:lvl w:ilvl="1">
      <w:start w:val="1"/>
      <w:numFmt w:val="bullet"/>
      <w:lvlText w:val="○"/>
      <w:lvlJc w:val="left"/>
      <w:pPr>
        <w:ind w:hanging="360" w:left="1440"/>
      </w:pPr>
      <w:rPr>
        <w:rFonts w:ascii="Arial" w:cs="Arial" w:eastAsia="Arial" w:hAnsi="Arial"/>
        <w:u w:val="none"/>
      </w:rPr>
    </w:lvl>
    <w:lvl w:ilvl="2">
      <w:start w:val="1"/>
      <w:numFmt w:val="bullet"/>
      <w:lvlText w:val="■"/>
      <w:lvlJc w:val="left"/>
      <w:pPr>
        <w:ind w:hanging="360" w:left="2160"/>
      </w:pPr>
      <w:rPr>
        <w:u w:val="none"/>
      </w:rPr>
    </w:lvl>
    <w:lvl w:ilvl="3">
      <w:start w:val="1"/>
      <w:numFmt w:val="bullet"/>
      <w:lvlText w:val="●"/>
      <w:lvlJc w:val="left"/>
      <w:pPr>
        <w:ind w:hanging="360" w:left="2880"/>
      </w:pPr>
      <w:rPr>
        <w:u w:val="none"/>
      </w:rPr>
    </w:lvl>
    <w:lvl w:ilvl="4">
      <w:start w:val="1"/>
      <w:numFmt w:val="bullet"/>
      <w:lvlText w:val="○"/>
      <w:lvlJc w:val="left"/>
      <w:pPr>
        <w:ind w:hanging="360" w:left="3600"/>
      </w:pPr>
      <w:rPr>
        <w:u w:val="none"/>
      </w:rPr>
    </w:lvl>
    <w:lvl w:ilvl="5">
      <w:start w:val="1"/>
      <w:numFmt w:val="bullet"/>
      <w:lvlText w:val="■"/>
      <w:lvlJc w:val="left"/>
      <w:pPr>
        <w:ind w:hanging="360" w:left="4320"/>
      </w:pPr>
      <w:rPr>
        <w:u w:val="none"/>
      </w:rPr>
    </w:lvl>
    <w:lvl w:ilvl="6">
      <w:start w:val="1"/>
      <w:numFmt w:val="bullet"/>
      <w:lvlText w:val="●"/>
      <w:lvlJc w:val="left"/>
      <w:pPr>
        <w:ind w:hanging="360" w:left="5040"/>
      </w:pPr>
      <w:rPr>
        <w:u w:val="none"/>
      </w:rPr>
    </w:lvl>
    <w:lvl w:ilvl="7">
      <w:start w:val="1"/>
      <w:numFmt w:val="bullet"/>
      <w:lvlText w:val="○"/>
      <w:lvlJc w:val="left"/>
      <w:pPr>
        <w:ind w:hanging="360" w:left="5760"/>
      </w:pPr>
      <w:rPr>
        <w:u w:val="none"/>
      </w:rPr>
    </w:lvl>
    <w:lvl w:ilvl="8">
      <w:start w:val="1"/>
      <w:numFmt w:val="bullet"/>
      <w:lvlText w:val="■"/>
      <w:lvlJc w:val="left"/>
      <w:pPr>
        <w:ind w:hanging="360" w:left="6480"/>
      </w:pPr>
      <w:rPr>
        <w:u w:val="none"/>
      </w:rPr>
    </w:lvl>
  </w:abstractNum>
  <w:abstractNum w:abstractNumId="4">
    <w:lvl w:ilvl="0">
      <w:start w:val="1"/>
      <w:numFmt w:val="bullet"/>
      <w:lvlText w:val="●"/>
      <w:lvlJc w:val="left"/>
      <w:pPr>
        <w:ind w:hanging="360" w:left="720"/>
      </w:pPr>
      <w:rPr>
        <w:rFonts w:ascii="Arial" w:cs="Arial" w:eastAsia="Arial" w:hAnsi="Arial"/>
        <w:u w:val="none"/>
      </w:rPr>
    </w:lvl>
    <w:lvl w:ilvl="1">
      <w:start w:val="1"/>
      <w:numFmt w:val="bullet"/>
      <w:lvlText w:val="○"/>
      <w:lvlJc w:val="left"/>
      <w:pPr>
        <w:ind w:hanging="360" w:left="1440"/>
      </w:pPr>
      <w:rPr>
        <w:u w:val="none"/>
      </w:rPr>
    </w:lvl>
    <w:lvl w:ilvl="2">
      <w:start w:val="1"/>
      <w:numFmt w:val="bullet"/>
      <w:lvlText w:val="■"/>
      <w:lvlJc w:val="left"/>
      <w:pPr>
        <w:ind w:hanging="360" w:left="2160"/>
      </w:pPr>
      <w:rPr>
        <w:u w:val="none"/>
      </w:rPr>
    </w:lvl>
    <w:lvl w:ilvl="3">
      <w:start w:val="1"/>
      <w:numFmt w:val="bullet"/>
      <w:lvlText w:val="●"/>
      <w:lvlJc w:val="left"/>
      <w:pPr>
        <w:ind w:hanging="360" w:left="2880"/>
      </w:pPr>
      <w:rPr>
        <w:u w:val="none"/>
      </w:rPr>
    </w:lvl>
    <w:lvl w:ilvl="4">
      <w:start w:val="1"/>
      <w:numFmt w:val="bullet"/>
      <w:lvlText w:val="○"/>
      <w:lvlJc w:val="left"/>
      <w:pPr>
        <w:ind w:hanging="360" w:left="3600"/>
      </w:pPr>
      <w:rPr>
        <w:u w:val="none"/>
      </w:rPr>
    </w:lvl>
    <w:lvl w:ilvl="5">
      <w:start w:val="1"/>
      <w:numFmt w:val="bullet"/>
      <w:lvlText w:val="■"/>
      <w:lvlJc w:val="left"/>
      <w:pPr>
        <w:ind w:hanging="360" w:left="4320"/>
      </w:pPr>
      <w:rPr>
        <w:u w:val="none"/>
      </w:rPr>
    </w:lvl>
    <w:lvl w:ilvl="6">
      <w:start w:val="1"/>
      <w:numFmt w:val="bullet"/>
      <w:lvlText w:val="●"/>
      <w:lvlJc w:val="left"/>
      <w:pPr>
        <w:ind w:hanging="360" w:left="5040"/>
      </w:pPr>
      <w:rPr>
        <w:u w:val="none"/>
      </w:rPr>
    </w:lvl>
    <w:lvl w:ilvl="7">
      <w:start w:val="1"/>
      <w:numFmt w:val="bullet"/>
      <w:lvlText w:val="○"/>
      <w:lvlJc w:val="left"/>
      <w:pPr>
        <w:ind w:hanging="360" w:left="5760"/>
      </w:pPr>
      <w:rPr>
        <w:u w:val="none"/>
      </w:rPr>
    </w:lvl>
    <w:lvl w:ilvl="8">
      <w:start w:val="1"/>
      <w:numFmt w:val="bullet"/>
      <w:lvlText w:val="■"/>
      <w:lvlJc w:val="left"/>
      <w:pPr>
        <w:ind w:hanging="360" w:left="6480"/>
      </w:pPr>
      <w:rPr>
        <w:u w:val="none"/>
      </w:rPr>
    </w:lvl>
  </w:abstractNum>
  <w:abstractNum w:abstractNumId="5">
    <w:lvl w:ilvl="0">
      <w:start w:val="1"/>
      <w:numFmt w:val="bullet"/>
      <w:lvlText w:val="●"/>
      <w:lvlJc w:val="left"/>
      <w:pPr>
        <w:ind w:hanging="360" w:left="720"/>
      </w:pPr>
      <w:rPr>
        <w:rFonts w:ascii="Arial" w:cs="Arial" w:eastAsia="Arial" w:hAnsi="Arial"/>
        <w:u w:val="none"/>
      </w:rPr>
    </w:lvl>
    <w:lvl w:ilvl="1">
      <w:start w:val="1"/>
      <w:numFmt w:val="bullet"/>
      <w:lvlText w:val="○"/>
      <w:lvlJc w:val="left"/>
      <w:pPr>
        <w:ind w:hanging="360" w:left="1440"/>
      </w:pPr>
      <w:rPr>
        <w:u w:val="none"/>
      </w:rPr>
    </w:lvl>
    <w:lvl w:ilvl="2">
      <w:start w:val="1"/>
      <w:numFmt w:val="bullet"/>
      <w:lvlText w:val="■"/>
      <w:lvlJc w:val="left"/>
      <w:pPr>
        <w:ind w:hanging="360" w:left="2160"/>
      </w:pPr>
      <w:rPr>
        <w:u w:val="none"/>
      </w:rPr>
    </w:lvl>
    <w:lvl w:ilvl="3">
      <w:start w:val="1"/>
      <w:numFmt w:val="bullet"/>
      <w:lvlText w:val="●"/>
      <w:lvlJc w:val="left"/>
      <w:pPr>
        <w:ind w:hanging="360" w:left="2880"/>
      </w:pPr>
      <w:rPr>
        <w:u w:val="none"/>
      </w:rPr>
    </w:lvl>
    <w:lvl w:ilvl="4">
      <w:start w:val="1"/>
      <w:numFmt w:val="bullet"/>
      <w:lvlText w:val="○"/>
      <w:lvlJc w:val="left"/>
      <w:pPr>
        <w:ind w:hanging="360" w:left="3600"/>
      </w:pPr>
      <w:rPr>
        <w:u w:val="none"/>
      </w:rPr>
    </w:lvl>
    <w:lvl w:ilvl="5">
      <w:start w:val="1"/>
      <w:numFmt w:val="bullet"/>
      <w:lvlText w:val="■"/>
      <w:lvlJc w:val="left"/>
      <w:pPr>
        <w:ind w:hanging="360" w:left="4320"/>
      </w:pPr>
      <w:rPr>
        <w:u w:val="none"/>
      </w:rPr>
    </w:lvl>
    <w:lvl w:ilvl="6">
      <w:start w:val="1"/>
      <w:numFmt w:val="bullet"/>
      <w:lvlText w:val="●"/>
      <w:lvlJc w:val="left"/>
      <w:pPr>
        <w:ind w:hanging="360" w:left="5040"/>
      </w:pPr>
      <w:rPr>
        <w:u w:val="none"/>
      </w:rPr>
    </w:lvl>
    <w:lvl w:ilvl="7">
      <w:start w:val="1"/>
      <w:numFmt w:val="bullet"/>
      <w:lvlText w:val="○"/>
      <w:lvlJc w:val="left"/>
      <w:pPr>
        <w:ind w:hanging="360" w:left="5760"/>
      </w:pPr>
      <w:rPr>
        <w:u w:val="none"/>
      </w:rPr>
    </w:lvl>
    <w:lvl w:ilvl="8">
      <w:start w:val="1"/>
      <w:numFmt w:val="bullet"/>
      <w:lvlText w:val="■"/>
      <w:lvlJc w:val="left"/>
      <w:pPr>
        <w:ind w:hanging="360" w:left="6480"/>
      </w:pPr>
      <w:rPr>
        <w:u w:val="none"/>
      </w:rPr>
    </w:lvl>
  </w:abstractNum>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1">
    <w:nsid w:val="0000A991"/>
    <w:multiLevelType w:val="multilevel"/>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abstractNum w:abstractNumId="99411">
    <w:nsid w:val="00A99411"/>
    <w:multiLevelType w:val="multilevel"/>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num w:numId="1">
    <w:abstractNumId w:val="1"/>
  </w:num>
  <w:num w:numId="2">
    <w:abstractNumId w:val="2"/>
  </w:num>
  <w:num w:numId="3">
    <w:abstractNumId w:val="3"/>
  </w:num>
  <w:num w:numId="4">
    <w:abstractNumId w:val="4"/>
  </w:num>
  <w:num w:numId="5">
    <w:abstractNumId w:val="5"/>
  </w:num>
  <w:num w:numId="1000">
    <w:abstractNumId w:val="990"/>
  </w:num>
  <w:num w:numId="1001">
    <w:abstractNumId w:val="991"/>
  </w:num>
  <w:num w:numId="1002">
    <w:abstractNumId w:val="991"/>
  </w:num>
  <w:num w:numId="1003">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TrueTypeFonts w:val="1"/>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compat>
    <w:compatSetting w:name="compatibilityMode" w:uri="http://schemas.microsoft.com/office/word" w:val="15"/>
  </w:compat>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http://schemas.microsoft.com/office/tasks/2019/documenttasks" xmlns:a="http://schemas.openxmlformats.org/drawingml/2006/main" xmlns:c="http://schemas.openxmlformats.org/drawingml/2006/chart" xmlns:cr="http://schemas.microsoft.com/office/comments/2020/reactions" xmlns:dgm="http://schemas.openxmlformats.org/drawingml/2006/diagram" xmlns:lc="http://schemas.openxmlformats.org/drawingml/2006/lockedCanvas" xmlns:m="http://schemas.openxmlformats.org/officeDocument/2006/math" xmlns:mc="http://schemas.openxmlformats.org/markup-compatibility/2006" xmlns:o="urn:schemas-microsoft-com:office:office" xmlns:pic="http://schemas.openxmlformats.org/drawingml/2006/picture" xmlns:r="http://schemas.openxmlformats.org/officeDocument/2006/relationships" xmlns:sl="http://schemas.openxmlformats.org/schemaLibrary/2006/main" xmlns:v="urn:schemas-microsoft-com:vml" xmlns:w="http://schemas.openxmlformats.org/wordprocessingml/2006/main" xmlns:w10="urn:schemas-microsoft-com:office:word" xmlns:w14="http://schemas.microsoft.com/office/word/2010/wordml" xmlns:w15="http://schemas.microsoft.com/office/word/2012/wordml" xmlns:w16="http://schemas.microsoft.com/office/word/2018/wordml" xmlns:w16cex="http://schemas.microsoft.com/office/word/2018/wordml/cex" xmlns:w16cid="http://schemas.microsoft.com/office/word/2016/wordml/cid" xmlns:wne="http://schemas.microsoft.com/office/word/2006/wordml" xmlns:wp="http://schemas.openxmlformats.org/drawingml/2006/wordprocessingDrawing" xmlns:wpg="http://schemas.microsoft.com/office/word/2010/wordprocessingGroup" xmlns:wps="http://schemas.microsoft.com/office/word/2010/wordprocessingShape">
  <w:docDefaults>
    <w:rPrDefault>
      <w:rPr>
        <w:rFonts w:ascii="Arial" w:cs="Arial" w:eastAsia="Arial" w:hAnsi="Arial"/>
        <w:sz w:val="22"/>
        <w:szCs w:val="22"/>
        <w:lang w:val="en_GB"/>
      </w:rPr>
    </w:rPrDefault>
    <w:pPrDefault>
      <w:pPr>
        <w:spacing w:line="276" w:lineRule="auto"/>
      </w:pPr>
    </w:pPrDefault>
  </w:docDefaults>
  <w:style w:default="1" w:styleId="TableNormal" w:type="table">
    <w:name w:val="TableNormal"/>
    <w:tblPr>
      <w:tblCellMar>
        <w:top w:type="dxa" w:w="100.0"/>
        <w:left w:type="dxa" w:w="100.0"/>
        <w:bottom w:type="dxa" w:w="100.0"/>
        <w:right w:type="dxa" w:w="100.0"/>
      </w:tblCellMar>
    </w:tblPr>
  </w:style>
  <w:style w:default="1" w:styleId="Normal" w:type="paragraph">
    <w:name w:val="normal"/>
  </w:style>
  <w:style w:styleId="Heading1" w:type="paragraph">
    <w:name w:val="heading 1"/>
    <w:basedOn w:val="Normal"/>
    <w:next w:val="Normal"/>
    <w:pPr>
      <w:keepNext w:val="1"/>
      <w:keepLines w:val="1"/>
      <w:pageBreakBefore w:val="0"/>
      <w:spacing w:after="120" w:before="400" w:lineRule="auto"/>
    </w:pPr>
    <w:rPr>
      <w:sz w:val="40"/>
      <w:szCs w:val="40"/>
    </w:rPr>
  </w:style>
  <w:style w:styleId="Heading2" w:type="paragraph">
    <w:name w:val="heading 2"/>
    <w:basedOn w:val="Normal"/>
    <w:next w:val="Normal"/>
    <w:pPr>
      <w:keepNext w:val="1"/>
      <w:keepLines w:val="1"/>
      <w:pageBreakBefore w:val="0"/>
      <w:spacing w:after="120" w:before="360" w:lineRule="auto"/>
    </w:pPr>
    <w:rPr>
      <w:b w:val="0"/>
      <w:bCs w:val="0"/>
      <w:sz w:val="32"/>
      <w:szCs w:val="32"/>
    </w:rPr>
  </w:style>
  <w:style w:styleId="Heading3" w:type="paragraph">
    <w:name w:val="heading 3"/>
    <w:basedOn w:val="Normal"/>
    <w:next w:val="Normal"/>
    <w:pPr>
      <w:keepNext w:val="1"/>
      <w:keepLines w:val="1"/>
      <w:pageBreakBefore w:val="0"/>
      <w:spacing w:after="80" w:before="320" w:lineRule="auto"/>
    </w:pPr>
    <w:rPr>
      <w:b w:val="0"/>
      <w:bCs w:val="0"/>
      <w:color w:val="434343"/>
      <w:sz w:val="28"/>
      <w:szCs w:val="28"/>
    </w:rPr>
  </w:style>
  <w:style w:styleId="Heading4" w:type="paragraph">
    <w:name w:val="heading 4"/>
    <w:basedOn w:val="Normal"/>
    <w:next w:val="Normal"/>
    <w:pPr>
      <w:keepNext w:val="1"/>
      <w:keepLines w:val="1"/>
      <w:pageBreakBefore w:val="0"/>
      <w:spacing w:after="80" w:before="280" w:lineRule="auto"/>
    </w:pPr>
    <w:rPr>
      <w:color w:val="666666"/>
      <w:sz w:val="24"/>
      <w:szCs w:val="24"/>
    </w:rPr>
  </w:style>
  <w:style w:styleId="Heading5" w:type="paragraph">
    <w:name w:val="heading 5"/>
    <w:basedOn w:val="Normal"/>
    <w:next w:val="Normal"/>
    <w:pPr>
      <w:keepNext w:val="1"/>
      <w:keepLines w:val="1"/>
      <w:pageBreakBefore w:val="0"/>
      <w:spacing w:after="80" w:before="240" w:lineRule="auto"/>
    </w:pPr>
    <w:rPr>
      <w:color w:val="666666"/>
      <w:sz w:val="22"/>
      <w:szCs w:val="22"/>
    </w:rPr>
  </w:style>
  <w:style w:styleId="Heading6" w:type="paragraph">
    <w:name w:val="heading 6"/>
    <w:basedOn w:val="Normal"/>
    <w:next w:val="Normal"/>
    <w:pPr>
      <w:keepNext w:val="1"/>
      <w:keepLines w:val="1"/>
      <w:pageBreakBefore w:val="0"/>
      <w:spacing w:after="80" w:before="240" w:lineRule="auto"/>
    </w:pPr>
    <w:rPr>
      <w:i w:val="1"/>
      <w:iCs w:val="1"/>
      <w:color w:val="666666"/>
      <w:sz w:val="22"/>
      <w:szCs w:val="22"/>
    </w:rPr>
  </w:style>
  <w:style w:styleId="Title" w:type="paragraph">
    <w:name w:val="Title"/>
    <w:basedOn w:val="Normal"/>
    <w:next w:val="Normal"/>
    <w:pPr>
      <w:keepNext w:val="1"/>
      <w:keepLines w:val="1"/>
      <w:pageBreakBefore w:val="0"/>
      <w:spacing w:after="60" w:before="0" w:lineRule="auto"/>
    </w:pPr>
    <w:rPr>
      <w:sz w:val="52"/>
      <w:szCs w:val="52"/>
    </w:rPr>
  </w:style>
  <w:style w:styleId="Subtitle" w:type="paragraph">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 w:styleId="Table1" w:type="table">
    <w:basedOn w:val="TableNormal"/>
    <w:tblPr>
      <w:tblStyleRowBandSize w:val="1"/>
      <w:tblStyleColBandSize w:val="1"/>
      <w:tblCellMar/>
    </w:tblPr>
  </w:style>
  <w:style w:styleId="Table2" w:type="table">
    <w:basedOn w:val="TableNormal"/>
    <w:tblPr>
      <w:tblStyleRowBandSize w:val="1"/>
      <w:tblStyleColBandSize w:val="1"/>
      <w:tblCellMar/>
    </w:tbl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 w:type="character" w:styleId="Hyperlink">
    <w:name w:val="Hyperlink"/>
    <w:rPr>
      <w:color w:val="0563C1"/>
      <w:u w:val="single"/>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5" Target="numbering.xml" /><Relationship Type="http://schemas.openxmlformats.org/officeDocument/2006/relationships/styles" Id="rId14" Target="styles.xml" /><Relationship Type="http://schemas.openxmlformats.org/officeDocument/2006/relationships/settings" Id="rId13" Target="settings.xml" /><Relationship Type="http://schemas.openxmlformats.org/officeDocument/2006/relationships/webSettings" Id="rId12" Target="webSettings.xml" /><Relationship Type="http://schemas.openxmlformats.org/officeDocument/2006/relationships/fontTable" Id="rId11" Target="fontTable.xml" /><Relationship Type="http://schemas.openxmlformats.org/officeDocument/2006/relationships/theme" Id="rId10" Target="theme/theme1.xml" /><Relationship Type="http://schemas.openxmlformats.org/officeDocument/2006/relationships/footnotes" Id="rId9" Target="footnotes.xml" /><Relationship Type="http://schemas.openxmlformats.org/officeDocument/2006/relationships/comments" Id="rId8" Target="comments.xml" /><Relationship Id="rId7" Target="media/image1.png" Type="http://schemas.openxmlformats.org/officeDocument/2006/relationships/image" /><Relationship Type="http://schemas.openxmlformats.org/officeDocument/2006/relationships/hyperlink" Id="rId22" Target="https://gagas.co.id/gaslink/" TargetMode="External" /><Relationship Type="http://schemas.openxmlformats.org/officeDocument/2006/relationships/hyperlink" Id="rId17" Target="https://gagas.co.id/perusahaan-cng-indonesia/" TargetMode="External" /><Relationship Type="http://schemas.openxmlformats.org/officeDocument/2006/relationships/hyperlink" Id="rId26" Target="https://gagas.co.id/perusahaan-lng-indonesia/" TargetMode="External" /><Relationship Type="http://schemas.openxmlformats.org/officeDocument/2006/relationships/hyperlink" Id="rId25" Target="https://migas.esdm.go.id/post/Surat-Edaran-Penggunaan-Sistem-Ukur-pada-Kegiatan-Migas" TargetMode="External" /><Relationship Type="http://schemas.openxmlformats.org/officeDocument/2006/relationships/hyperlink" Id="rId19" Target="https://peraturan.bpk.go.id/Details/229798/uu-no-27-tahun-2022" TargetMode="External" /><Relationship Type="http://schemas.openxmlformats.org/officeDocument/2006/relationships/hyperlink" Id="rId20" Target="https://www.iea.org/reports/digitalisation-and-energy" TargetMode="External" /></Relationships>
</file>

<file path=word/_rels/footnotes.xml.rels><?xml version="1.0" encoding="UTF-8"?><Relationships xmlns="http://schemas.openxmlformats.org/package/2006/relationships"><Relationship Type="http://schemas.openxmlformats.org/officeDocument/2006/relationships/hyperlink" Id="rId22" Target="https://gagas.co.id/gaslink/" TargetMode="External" /><Relationship Type="http://schemas.openxmlformats.org/officeDocument/2006/relationships/hyperlink" Id="rId17" Target="https://gagas.co.id/perusahaan-cng-indonesia/" TargetMode="External" /><Relationship Type="http://schemas.openxmlformats.org/officeDocument/2006/relationships/hyperlink" Id="rId26" Target="https://gagas.co.id/perusahaan-lng-indonesia/" TargetMode="External" /><Relationship Type="http://schemas.openxmlformats.org/officeDocument/2006/relationships/hyperlink" Id="rId25" Target="https://migas.esdm.go.id/post/Surat-Edaran-Penggunaan-Sistem-Ukur-pada-Kegiatan-Migas" TargetMode="External" /><Relationship Type="http://schemas.openxmlformats.org/officeDocument/2006/relationships/hyperlink" Id="rId19" Target="https://peraturan.bpk.go.id/Details/229798/uu-no-27-tahun-2022" TargetMode="External" /><Relationship Type="http://schemas.openxmlformats.org/officeDocument/2006/relationships/hyperlink" Id="rId20" Target="https://www.iea.org/reports/digitalisation-and-energy" TargetMode="Externa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2026-09-28T13:11:12Z</dcterms:created>
  <dcterms:modified xsi:type="dcterms:W3CDTF">2026-09-28T13:11:12Z</dcterms:modified>
</cp:coreProperties>
</file>

<file path=docProps/custom.xml><?xml version="1.0" encoding="utf-8"?>
<Properties xmlns="http://schemas.openxmlformats.org/officeDocument/2006/custom-properties" xmlns:vt="http://schemas.openxmlformats.org/officeDocument/2006/docPropsVTypes"/>
</file>