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"Menjaga Keandalan Pasokan LNG: Strategi Kelangsungan (BCP) untuk Pabrik"</w:t>
      </w:r>
      <w:r>
        <w:br/>
      </w:r>
      <w:r>
        <w:rPr>
          <w:rStyle w:val="FunctionTok"/>
        </w:rPr>
        <w:t xml:space="preserve">meta_title</w:t>
      </w:r>
      <w:r>
        <w:rPr>
          <w:rStyle w:val="KeywordTok"/>
        </w:rPr>
        <w:t xml:space="preserve">:</w:t>
      </w:r>
      <w:r>
        <w:rPr>
          <w:rStyle w:val="AttributeTok"/>
        </w:rPr>
        <w:t xml:space="preserve"> </w:t>
      </w:r>
      <w:r>
        <w:rPr>
          <w:rStyle w:val="StringTok"/>
        </w:rPr>
        <w:t xml:space="preserve">"Perusahaan LNG Indonesia: Jaga Keandalan Pasokan"</w:t>
      </w:r>
      <w:r>
        <w:br/>
      </w:r>
      <w:r>
        <w:rPr>
          <w:rStyle w:val="FunctionTok"/>
        </w:rPr>
        <w:t xml:space="preserve">meta_description</w:t>
      </w:r>
      <w:r>
        <w:rPr>
          <w:rStyle w:val="KeywordTok"/>
        </w:rPr>
        <w:t xml:space="preserve">:</w:t>
      </w:r>
      <w:r>
        <w:rPr>
          <w:rStyle w:val="AttributeTok"/>
        </w:rPr>
        <w:t xml:space="preserve"> </w:t>
      </w:r>
      <w:r>
        <w:rPr>
          <w:rStyle w:val="StringTok"/>
        </w:rPr>
        <w:t xml:space="preserve">"Strategi keandalan &amp; kelangsungan pasokan (BCP) untuk pembeli perusahaan LNG Indonesia: pemetaan risiko, lima tuas mitigasi, dan cara menakar stok cadangan."</w:t>
      </w:r>
      <w:r>
        <w:br/>
      </w:r>
      <w:r>
        <w:rPr>
          <w:rStyle w:val="FunctionTok"/>
        </w:rPr>
        <w:t xml:space="preserve">slug</w:t>
      </w:r>
      <w:r>
        <w:rPr>
          <w:rStyle w:val="KeywordTok"/>
        </w:rPr>
        <w:t xml:space="preserve">:</w:t>
      </w:r>
      <w:r>
        <w:rPr>
          <w:rStyle w:val="AttributeTok"/>
        </w:rPr>
        <w:t xml:space="preserve"> </w:t>
      </w:r>
      <w:r>
        <w:rPr>
          <w:rStyle w:val="StringTok"/>
        </w:rPr>
        <w:t xml:space="preserve">"perusahaan-lng-indonesia-keandalan-pasokan-bcp"</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"keandalan pasokan gas"</w:t>
      </w:r>
      <w:r>
        <w:rPr>
          <w:rStyle w:val="KeywordTok"/>
        </w:rPr>
        <w:t xml:space="preserve">,</w:t>
      </w:r>
      <w:r>
        <w:rPr>
          <w:rStyle w:val="AttributeTok"/>
        </w:rPr>
        <w:t xml:space="preserve"> </w:t>
      </w:r>
      <w:r>
        <w:rPr>
          <w:rStyle w:val="StringTok"/>
        </w:rPr>
        <w:t xml:space="preserve">"business continuity plan energi"</w:t>
      </w:r>
      <w:r>
        <w:rPr>
          <w:rStyle w:val="KeywordTok"/>
        </w:rPr>
        <w:t xml:space="preserve">,</w:t>
      </w:r>
      <w:r>
        <w:rPr>
          <w:rStyle w:val="AttributeTok"/>
        </w:rPr>
        <w:t xml:space="preserve"> </w:t>
      </w:r>
      <w:r>
        <w:rPr>
          <w:rStyle w:val="StringTok"/>
        </w:rPr>
        <w:t xml:space="preserve">"manajemen risiko pasokan"</w:t>
      </w:r>
      <w:r>
        <w:rPr>
          <w:rStyle w:val="KeywordTok"/>
        </w:rPr>
        <w:t xml:space="preserve">,</w:t>
      </w:r>
      <w:r>
        <w:rPr>
          <w:rStyle w:val="AttributeTok"/>
        </w:rPr>
        <w:t xml:space="preserve"> </w:t>
      </w:r>
      <w:r>
        <w:rPr>
          <w:rStyle w:val="StringTok"/>
        </w:rPr>
        <w:t xml:space="preserve">"diversifikasi sumber energi"</w:t>
      </w:r>
      <w:r>
        <w:rPr>
          <w:rStyle w:val="KeywordTok"/>
        </w:rPr>
        <w:t xml:space="preserve">,</w:t>
      </w:r>
      <w:r>
        <w:rPr>
          <w:rStyle w:val="AttributeTok"/>
        </w:rPr>
        <w:t xml:space="preserve"> </w:t>
      </w:r>
      <w:r>
        <w:rPr>
          <w:rStyle w:val="StringTok"/>
        </w:rPr>
        <w:t xml:space="preserve">"moda cadangan CNG"</w:t>
      </w:r>
      <w:r>
        <w:rPr>
          <w:rStyle w:val="KeywordTok"/>
        </w:rPr>
        <w:t xml:space="preserve">,</w:t>
      </w:r>
      <w:r>
        <w:rPr>
          <w:rStyle w:val="AttributeTok"/>
        </w:rPr>
        <w:t xml:space="preserve"> </w:t>
      </w:r>
      <w:r>
        <w:rPr>
          <w:rStyle w:val="StringTok"/>
        </w:rPr>
        <w:t xml:space="preserve">"safety stock gas"</w:t>
      </w:r>
      <w:r>
        <w:rPr>
          <w:rStyle w:val="KeywordTok"/>
        </w:rPr>
        <w:t xml:space="preserve">,</w:t>
      </w:r>
      <w:r>
        <w:rPr>
          <w:rStyle w:val="AttributeTok"/>
        </w:rPr>
        <w:t xml:space="preserve"> </w:t>
      </w:r>
      <w:r>
        <w:rPr>
          <w:rStyle w:val="StringTok"/>
        </w:rPr>
        <w:t xml:space="preserve">"volatilitas harga LNG"</w:t>
      </w:r>
      <w:r>
        <w:rPr>
          <w:rStyle w:val="KeywordTok"/>
        </w:rPr>
        <w:t xml:space="preserve">,</w:t>
      </w:r>
      <w:r>
        <w:rPr>
          <w:rStyle w:val="AttributeTok"/>
        </w:rPr>
        <w:t xml:space="preserve"> </w:t>
      </w:r>
      <w:r>
        <w:rPr>
          <w:rStyle w:val="StringTok"/>
        </w:rPr>
        <w:t xml:space="preserve">"klausul force majeure"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LNG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sebagai moda pasokan pelengkap"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"https://www.esdm.go.id/id/media-center/arsip-berita/selamatkan-industri-menteri-esdm-turunkan-harga-lng-industri"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"Patokan harga LNG industri US$13/MMBTU s/d 31 Desember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"https://www.iea.org/reports/gas-market-report-q3-2026/executive-summary"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"Dampak penutupan Selat Hormuz terhadap pasokan dan harga LNG global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"https://www.esdm.go.id/id/media-center/arsip-berita/skema-baru-hgbt-perkuat-daya-saing-industri-dan-efisiensi-anggaran-negara"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"Skema HGBT US$6,5-7/MMBTU untuk 253 pengguna di tujuh sektor"</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date_modified</w:t>
      </w:r>
      <w:r>
        <w:rPr>
          <w:rStyle w:val="KeywordTok"/>
        </w:rPr>
        <w:t xml:space="preserve">:</w:t>
      </w:r>
      <w:r>
        <w:rPr>
          <w:rStyle w:val="AttributeTok"/>
        </w:rPr>
        <w:t xml:space="preserve"> </w:t>
      </w:r>
      <w:r>
        <w:rPr>
          <w:rStyle w:val="StringTok"/>
        </w:rPr>
        <w:t xml:space="preserve">"2026-10-01"</w:t>
      </w:r>
      <w:r>
        <w:br/>
      </w:r>
      <w:r>
        <w:rPr>
          <w:rStyle w:val="FunctionTok"/>
        </w:rPr>
        <w:t xml:space="preserve">word_count</w:t>
      </w:r>
      <w:r>
        <w:rPr>
          <w:rStyle w:val="KeywordTok"/>
        </w:rPr>
        <w:t xml:space="preserve">:</w:t>
      </w:r>
      <w:r>
        <w:rPr>
          <w:rStyle w:val="AttributeTok"/>
        </w:rPr>
        <w:t xml:space="preserve"> </w:t>
      </w:r>
      <w:r>
        <w:rPr>
          <w:rStyle w:val="DecValTok"/>
        </w:rPr>
        <w:t xml:space="preserve">1560</w:t>
      </w:r>
    </w:p>
    <w:p>
      <w:r>
        <w:pict>
          <v:rect style="width:0;height:1.5pt" o:hralign="center" o:hrstd="t" o:hr="t"/>
        </w:pict>
      </w:r>
    </w:p>
    <w:bookmarkEnd w:id="16"/>
    <w:bookmarkStart w:id="37" w:name="Xcc79b5e47af88d70adcc0c7b2e39671d8955396"/>
    <w:p>
      <w:pPr>
        <w:pStyle w:val="Heading1"/>
      </w:pPr>
      <w:r>
        <w:t xml:space="preserve">Menjaga Keandalan Pasokan LNG: Strategi Kelangsungan (BCP) untuk Pabrik</w:t>
      </w:r>
    </w:p>
    <w:p>
      <w:pPr>
        <w:pStyle w:val="FirstParagraph"/>
      </w:pPr>
      <w:r>
        <w:t xml:space="preserve">Ketika lini produksi berhenti karena pasokan gas telat datang, yang hilang bukan cuma harga gasnya. Ada output yang menguap, denda keterlambatan ke pelanggan, dan kepercayaan yang susah dipulihkan. Sepanjang 2026, harga LNG (</w:t>
      </w:r>
      <w:r>
        <w:rPr>
          <w:i/>
          <w:iCs/>
        </w:rPr>
        <w:t xml:space="preserve">Liquefied Natural Gas</w:t>
      </w:r>
      <w:r>
        <w:t xml:space="preserve">) spot sempat melonjak tajam sebelum pemerintah turun tangan mematok harga gas industri, mengingatkan bahwa memilih di antara</w:t>
      </w:r>
      <w:r>
        <w:t xml:space="preserve"> </w:t>
      </w:r>
      <w:hyperlink r:id="rId17">
        <w:r>
          <w:rPr>
            <w:rStyle w:val="Hyperlink"/>
          </w:rPr>
          <w:t xml:space="preserve">perusahaan LNG di Indonesia</w:t>
        </w:r>
      </w:hyperlink>
      <w:r>
        <w:t xml:space="preserve"> </w:t>
      </w:r>
      <w:r>
        <w:t xml:space="preserve">baru separuh pekerjaan. Separuh lainnya adalah memastikan pasokan itu tetap mengalir saat keadaan memburuk. Tulisan ini kerangka manajemen risiko dan kelangsungan pasokan (</w:t>
      </w:r>
      <w:r>
        <w:rPr>
          <w:i/>
          <w:iCs/>
        </w:rPr>
        <w:t xml:space="preserve">business continuity</w:t>
      </w:r>
      <w:r>
        <w:t xml:space="preserve">) di tingkat keputusan, bukan glosarium kontrak atau panduan insiden lapangan.</w:t>
      </w:r>
    </w:p>
    <w:p>
      <w:pPr>
        <w:pStyle w:val="BlockText"/>
      </w:pPr>
      <w:r>
        <w:rPr>
          <w:b/>
          <w:bCs/>
        </w:rPr>
        <w:t xml:space="preserve">Secara singkat:</w:t>
      </w:r>
      <w:r>
        <w:t xml:space="preserve"> </w:t>
      </w:r>
      <w:r>
        <w:t xml:space="preserve">Keandalan pasokan LNG adalah kemampuan rantai pasok, dari sumber dan logistik pengiriman hingga penyimpanan, untuk terus memenuhi kebutuhan pembeli tanpa gangguan berarti.</w:t>
      </w:r>
      <w:r>
        <w:t xml:space="preserve"> </w:t>
      </w:r>
      <w:r>
        <w:rPr>
          <w:i/>
          <w:iCs/>
        </w:rPr>
        <w:t xml:space="preserve">Business continuity plan</w:t>
      </w:r>
      <w:r>
        <w:t xml:space="preserve"> </w:t>
      </w:r>
      <w:r>
        <w:t xml:space="preserve">(BCP) energi adalah rencana terstruktur agar operasi pembeli tetap berjalan ketika pasokan itu terganggu, mencakup diversifikasi sumber, moda cadangan, dan kebijakan stok penyangga.</w:t>
      </w:r>
    </w:p>
    <w:p>
      <w:pPr>
        <w:pStyle w:val="FirstParagraph"/>
      </w:pPr>
      <w:r>
        <w:rPr>
          <w:i/>
          <w:iCs/>
        </w:rPr>
        <w:t xml:space="preserve">[Image 01: Infografik linimasa gejolak harga LNG 2026: Feb (Selat Hormuz tertutup), Mar (puncak harga), Jun (kesepakatan AS–Iran, ESDM patok US$13/MMBTU), lalu mereda; latar kurva harga spot Asia; gaya korporat biru-abu, teks Bahasa Indonesia]</w:t>
      </w:r>
    </w:p>
    <w:bookmarkStart w:id="18" w:name="X9b6b4829533bddf494181af76fc9a6db834bc96"/>
    <w:p>
      <w:pPr>
        <w:pStyle w:val="Heading2"/>
      </w:pPr>
      <w:r>
        <w:t xml:space="preserve">Apa Itu Keandalan Pasokan dan Rencana Kelangsungan (BCP) untuk Energi Gas?</w:t>
      </w:r>
    </w:p>
    <w:p>
      <w:pPr>
        <w:pStyle w:val="FirstParagraph"/>
      </w:pPr>
      <w:r>
        <w:t xml:space="preserve">Keandalan pasokan adalah jaminan gas datang dalam volume, tekanan, dan waktu yang dijanjikan. Rencana kelangsungan (</w:t>
      </w:r>
      <w:r>
        <w:rPr>
          <w:i/>
          <w:iCs/>
        </w:rPr>
        <w:t xml:space="preserve">business continuity plan</w:t>
      </w:r>
      <w:r>
        <w:t xml:space="preserve">/BCP) energi adalah dokumen keputusan untuk saat jaminan itu gagal: siapa dihubungi, moda apa yang diaktifkan, dan pada ambang mana operasi beralih ke cadangan.</w:t>
      </w:r>
    </w:p>
    <w:p>
      <w:pPr>
        <w:pStyle w:val="BodyText"/>
      </w:pPr>
      <w:r>
        <w:t xml:space="preserve">Pasokan energi menyimpan dua wajah risiko yang kerap dikira satu:</w:t>
      </w:r>
    </w:p>
    <w:p>
      <w:pPr>
        <w:pStyle w:val="Compact"/>
        <w:numPr>
          <w:ilvl w:val="0"/>
          <w:numId w:val="1001"/>
        </w:numPr>
      </w:pPr>
      <w:r>
        <w:rPr>
          <w:b/>
          <w:bCs/>
        </w:rPr>
        <w:t xml:space="preserve">Ketersediaan</w:t>
      </w:r>
      <w:r>
        <w:t xml:space="preserve">: barangnya ada dan tiba tepat waktu, dalam volume serta tekanan yang dijanjikan.</w:t>
      </w:r>
    </w:p>
    <w:p>
      <w:pPr>
        <w:pStyle w:val="Compact"/>
        <w:numPr>
          <w:ilvl w:val="0"/>
          <w:numId w:val="1001"/>
        </w:numPr>
      </w:pPr>
      <w:r>
        <w:rPr>
          <w:b/>
          <w:bCs/>
        </w:rPr>
        <w:t xml:space="preserve">Harga</w:t>
      </w:r>
      <w:r>
        <w:t xml:space="preserve">: biayanya tidak meledak tiba-tiba tanpa peringatan.</w:t>
      </w:r>
    </w:p>
    <w:p>
      <w:pPr>
        <w:pStyle w:val="FirstParagraph"/>
      </w:pPr>
      <w:r>
        <w:t xml:space="preserve">Rencana yang hanya mengunci harga tanpa menjamin barang datang, atau sebaliknya, meninggalkan celah. Rantai LNG memperbesar taruhannya karena panjang: gas dicairkan pada suhu sekitar -162°C, diangkut kapal atau ISO tank, diregasifikasi, lalu didistribusikan. Setiap simpul bisa tersendat.</w:t>
      </w:r>
    </w:p>
    <w:p>
      <w:pPr>
        <w:pStyle w:val="BodyText"/>
      </w:pPr>
      <w:r>
        <w:t xml:space="preserve">Istilah</w:t>
      </w:r>
      <w:r>
        <w:t xml:space="preserve"> </w:t>
      </w:r>
      <w:r>
        <w:t xml:space="preserve">“perusahaan LNG”</w:t>
      </w:r>
      <w:r>
        <w:t xml:space="preserve"> </w:t>
      </w:r>
      <w:r>
        <w:t xml:space="preserve">pun berlapis. Ada pemain likuifaksi di hulu, operator regasifikasi skala besar seperti FSRU, dan penyalur hilir</w:t>
      </w:r>
      <w:r>
        <w:t xml:space="preserve"> </w:t>
      </w:r>
      <w:r>
        <w:rPr>
          <w:i/>
          <w:iCs/>
        </w:rPr>
        <w:t xml:space="preserve">beyond-pipeline</w:t>
      </w:r>
      <w:r>
        <w:t xml:space="preserve"> </w:t>
      </w:r>
      <w:r>
        <w:t xml:space="preserve">(di luar jangkauan pipa). Menilai keandalan berarti tahu di lapisan mana calon mitra Anda berdiri. Kedalaman pasar global tidak menjamin kargo Anda aman minggu depan.</w:t>
      </w:r>
    </w:p>
    <w:bookmarkEnd w:id="18"/>
    <w:bookmarkStart w:id="20" w:name="Xd36d35d3ec1316d92118b1e257e427a6c5d463c"/>
    <w:p>
      <w:pPr>
        <w:pStyle w:val="Heading2"/>
      </w:pPr>
      <w:r>
        <w:t xml:space="preserve">Risiko Apa Saja yang Mengancam Pasokan LNG Anda?</w:t>
      </w:r>
    </w:p>
    <w:p>
      <w:pPr>
        <w:pStyle w:val="FirstParagraph"/>
      </w:pPr>
      <w:r>
        <w:t xml:space="preserve">Empat risiko paling menonjol: volatilitas harga global (indeks JKM/</w:t>
      </w:r>
      <w:r>
        <w:rPr>
          <w:i/>
          <w:iCs/>
        </w:rPr>
        <w:t xml:space="preserve">Japan Korea Marker</w:t>
      </w:r>
      <w:r>
        <w:t xml:space="preserve"> </w:t>
      </w:r>
      <w:r>
        <w:t xml:space="preserve">naik sekitar 111% sepanjang 2026, menurut detikFinance), gangguan logistik pada rute pelayaran dan terminal, gangguan hulu atau geopolitik yang memicu</w:t>
      </w:r>
      <w:r>
        <w:t xml:space="preserve"> </w:t>
      </w:r>
      <w:r>
        <w:rPr>
          <w:i/>
          <w:iCs/>
        </w:rPr>
        <w:t xml:space="preserve">force majeure</w:t>
      </w:r>
      <w:r>
        <w:t xml:space="preserve">, serta ketergantungan pada satu pemasok (</w:t>
      </w:r>
      <w:r>
        <w:rPr>
          <w:i/>
          <w:iCs/>
        </w:rPr>
        <w:t xml:space="preserve">single-point-of-failure</w:t>
      </w:r>
      <w:r>
        <w:t xml:space="preserve">, satu titik gagal). Masing-masing menuntut mitigasi berbeda, bukan satu solusi seragam.</w:t>
      </w:r>
    </w:p>
    <w:p>
      <w:pPr>
        <w:pStyle w:val="BodyText"/>
      </w:pPr>
      <w:r>
        <w:t xml:space="preserve">Risiko ketersediaan berhenti menjadi hipotetis pada 2026. Penutupan Selat Hormuz akhir Februari sempat mengganggu setara sekitar 20% pasokan LNG global, dengan pemuatan dari Qatar dan Uni Emirat Arab turun 35 bcm dibanding tahun sebelumnya (</w:t>
      </w:r>
      <w:hyperlink r:id="rId19">
        <w:r>
          <w:rPr>
            <w:rStyle w:val="Hyperlink"/>
          </w:rPr>
          <w:t xml:space="preserve">IEA,</w:t>
        </w:r>
        <w:r>
          <w:rPr>
            <w:rStyle w:val="Hyperlink"/>
          </w:rPr>
          <w:t xml:space="preserve"> </w:t>
        </w:r>
        <w:r>
          <w:rPr>
            <w:rStyle w:val="Hyperlink"/>
            <w:i/>
            <w:iCs/>
          </w:rPr>
          <w:t xml:space="preserve">Gas Market Report</w:t>
        </w:r>
        <w:r>
          <w:rPr>
            <w:rStyle w:val="Hyperlink"/>
          </w:rPr>
          <w:t xml:space="preserve"> </w:t>
        </w:r>
        <w:r>
          <w:rPr>
            <w:rStyle w:val="Hyperlink"/>
          </w:rPr>
          <w:t xml:space="preserve">Q3-2026</w:t>
        </w:r>
      </w:hyperlink>
      <w:r>
        <w:t xml:space="preserve">). Harga spot LNG Asia ikut melonjak 45% ke rata-rata US$17,5/MMBtu pada kuartal II, tertinggi sejak krisis 2022, sebelum mereda usai kesepakatan sementara AS–Iran. Risiko harga dan ketersediaan kerap dipicu peristiwa yang sama.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Risiko</w:t>
            </w:r>
          </w:p>
        </w:tc>
        <w:tc>
          <w:tcPr/>
          <w:p>
            <w:pPr>
              <w:pStyle w:val="Compact"/>
            </w:pPr>
            <w:r>
              <w:t xml:space="preserve">Dampak pada pembeli</w:t>
            </w:r>
          </w:p>
        </w:tc>
        <w:tc>
          <w:tcPr/>
          <w:p>
            <w:pPr>
              <w:pStyle w:val="Compact"/>
            </w:pPr>
            <w:r>
              <w:t xml:space="preserve">Mitigasi utama</w:t>
            </w:r>
          </w:p>
        </w:tc>
      </w:tr>
      <w:tr>
        <w:tc>
          <w:tcPr/>
          <w:p>
            <w:pPr>
              <w:pStyle w:val="Compact"/>
            </w:pPr>
            <w:r>
              <w:t xml:space="preserve">Volatilitas harga (indeks JKM / spot Asia)</w:t>
            </w:r>
          </w:p>
        </w:tc>
        <w:tc>
          <w:tcPr/>
          <w:p>
            <w:pPr>
              <w:pStyle w:val="Compact"/>
            </w:pPr>
            <w:r>
              <w:t xml:space="preserve">Biaya energi melonjak tiba-tiba, marjin tergerus</w:t>
            </w:r>
          </w:p>
        </w:tc>
        <w:tc>
          <w:tcPr/>
          <w:p>
            <w:pPr>
              <w:pStyle w:val="Compact"/>
            </w:pPr>
            <w:r>
              <w:t xml:space="preserve">Kontrak indeksasi, pantau kebijakan harga, diversifikasi pemasok</w:t>
            </w:r>
          </w:p>
        </w:tc>
      </w:tr>
      <w:tr>
        <w:tc>
          <w:tcPr/>
          <w:p>
            <w:pPr>
              <w:pStyle w:val="Compact"/>
            </w:pPr>
            <w:r>
              <w:t xml:space="preserve">Gangguan logistik (rute pelayaran, ISO tank, terminal)</w:t>
            </w:r>
          </w:p>
        </w:tc>
        <w:tc>
          <w:tcPr/>
          <w:p>
            <w:pPr>
              <w:pStyle w:val="Compact"/>
            </w:pPr>
            <w:r>
              <w:t xml:space="preserve">Pengiriman telat, produksi berpotensi terhenti</w:t>
            </w:r>
          </w:p>
        </w:tc>
        <w:tc>
          <w:tcPr/>
          <w:p>
            <w:pPr>
              <w:pStyle w:val="Compact"/>
            </w:pPr>
            <w:r>
              <w:t xml:space="preserve">Diversifikasi rute/pemasok, moda cadangan, stok penyangga</w:t>
            </w:r>
          </w:p>
        </w:tc>
      </w:tr>
      <w:tr>
        <w:tc>
          <w:tcPr/>
          <w:p>
            <w:pPr>
              <w:pStyle w:val="Compact"/>
            </w:pPr>
            <w:r>
              <w:t xml:space="preserve">Gangguan hulu /</w:t>
            </w:r>
            <w:r>
              <w:t xml:space="preserve"> </w:t>
            </w:r>
            <w:r>
              <w:rPr>
                <w:i/>
                <w:iCs/>
              </w:rPr>
              <w:t xml:space="preserve">force majeure</w:t>
            </w:r>
            <w:r>
              <w:t xml:space="preserve"> </w:t>
            </w:r>
            <w:r>
              <w:t xml:space="preserve">(geopolitik, bencana)</w:t>
            </w:r>
          </w:p>
        </w:tc>
        <w:tc>
          <w:tcPr/>
          <w:p>
            <w:pPr>
              <w:pStyle w:val="Compact"/>
            </w:pPr>
            <w:r>
              <w:t xml:space="preserve">Pasokan terhenti mendadak di luar kendali</w:t>
            </w:r>
          </w:p>
        </w:tc>
        <w:tc>
          <w:tcPr/>
          <w:p>
            <w:pPr>
              <w:pStyle w:val="Compact"/>
            </w:pPr>
            <w:r>
              <w:t xml:space="preserve">Klausul force majeure jelas, SLA eskalasi, rencana kontingensi</w:t>
            </w:r>
          </w:p>
        </w:tc>
      </w:tr>
      <w:tr>
        <w:tc>
          <w:tcPr/>
          <w:p>
            <w:pPr>
              <w:pStyle w:val="Compact"/>
            </w:pPr>
            <w:r>
              <w:t xml:space="preserve">Ketergantungan pemasok tunggal (</w:t>
            </w:r>
            <w:r>
              <w:rPr>
                <w:i/>
                <w:iCs/>
              </w:rPr>
              <w:t xml:space="preserve">single-point-of-failure</w:t>
            </w:r>
            <w:r>
              <w:t xml:space="preserve">)</w:t>
            </w:r>
          </w:p>
        </w:tc>
        <w:tc>
          <w:tcPr/>
          <w:p>
            <w:pPr>
              <w:pStyle w:val="Compact"/>
            </w:pPr>
            <w:r>
              <w:t xml:space="preserve">Tak ada alternatif saat pemasok utama gagal kirim</w:t>
            </w:r>
          </w:p>
        </w:tc>
        <w:tc>
          <w:tcPr/>
          <w:p>
            <w:pPr>
              <w:pStyle w:val="Compact"/>
            </w:pPr>
            <w:r>
              <w:t xml:space="preserve">Dual/multi-sourcing, moda cadangan (CNG/LPG/diesel)</w:t>
            </w:r>
          </w:p>
        </w:tc>
      </w:tr>
    </w:tbl>
    <w:bookmarkEnd w:id="20"/>
    <w:bookmarkStart w:id="23" w:name="X78cf767e0f7df7f0c35ffc2259a20cfb22fb524"/>
    <w:p>
      <w:pPr>
        <w:pStyle w:val="Heading2"/>
      </w:pPr>
      <w:r>
        <w:t xml:space="preserve">Membangun Strategi Kelangsungan Pasokan: Lima Tuas</w:t>
      </w:r>
    </w:p>
    <w:p>
      <w:pPr>
        <w:pStyle w:val="FirstParagraph"/>
      </w:pPr>
      <w:r>
        <w:t xml:space="preserve">Kelangsungan pasokan berdiri di atas lima tuas yang saling menopang: diversifikasi sumber (</w:t>
      </w:r>
      <w:r>
        <w:rPr>
          <w:i/>
          <w:iCs/>
        </w:rPr>
        <w:t xml:space="preserve">dual sourcing</w:t>
      </w:r>
      <w:r>
        <w:t xml:space="preserve">), moda cadangan seperti CNG atau LPG, stok penyangga (</w:t>
      </w:r>
      <w:r>
        <w:rPr>
          <w:i/>
          <w:iCs/>
        </w:rPr>
        <w:t xml:space="preserve">safety stock</w:t>
      </w:r>
      <w:r>
        <w:t xml:space="preserve">) yang proporsional, lindung nilai lewat struktur kontrak, serta klausul</w:t>
      </w:r>
      <w:r>
        <w:t xml:space="preserve"> </w:t>
      </w:r>
      <w:r>
        <w:rPr>
          <w:i/>
          <w:iCs/>
        </w:rPr>
        <w:t xml:space="preserve">force majeure</w:t>
      </w:r>
      <w:r>
        <w:t xml:space="preserve"> </w:t>
      </w:r>
      <w:r>
        <w:t xml:space="preserve">dengan jalur eskalasi yang jelas. Tak satu tuas cukup berdiri sendiri.</w:t>
      </w:r>
    </w:p>
    <w:p>
      <w:pPr>
        <w:pStyle w:val="Compact"/>
        <w:numPr>
          <w:ilvl w:val="0"/>
          <w:numId w:val="1002"/>
        </w:numPr>
      </w:pPr>
      <w:r>
        <w:rPr>
          <w:b/>
          <w:bCs/>
        </w:rPr>
        <w:t xml:space="preserve">Diversifikasi sumber (</w:t>
      </w:r>
      <w:r>
        <w:rPr>
          <w:b/>
          <w:bCs/>
          <w:i/>
          <w:iCs/>
        </w:rPr>
        <w:t xml:space="preserve">dual sourcing</w:t>
      </w:r>
      <w:r>
        <w:rPr>
          <w:b/>
          <w:bCs/>
        </w:rPr>
        <w:t xml:space="preserve">).</w:t>
      </w:r>
      <w:r>
        <w:t xml:space="preserve"> </w:t>
      </w:r>
      <w:r>
        <w:t xml:space="preserve">Satu pemasok atau satu rute berarti satu titik gagal. Pemasok kedua, atau minimal rute alternatif, memutus ketergantungan itu.</w:t>
      </w:r>
    </w:p>
    <w:p>
      <w:pPr>
        <w:pStyle w:val="Compact"/>
        <w:numPr>
          <w:ilvl w:val="0"/>
          <w:numId w:val="1002"/>
        </w:numPr>
      </w:pPr>
      <w:r>
        <w:rPr>
          <w:b/>
          <w:bCs/>
        </w:rPr>
        <w:t xml:space="preserve">Moda cadangan.</w:t>
      </w:r>
      <w:r>
        <w:t xml:space="preserve"> </w:t>
      </w:r>
      <w:hyperlink r:id="rId21">
        <w:r>
          <w:rPr>
            <w:rStyle w:val="Hyperlink"/>
          </w:rPr>
          <w:t xml:space="preserve">CNG sebagai moda pasokan pelengkap</w:t>
        </w:r>
      </w:hyperlink>
      <w:r>
        <w:t xml:space="preserve"> </w:t>
      </w:r>
      <w:r>
        <w:t xml:space="preserve">(</w:t>
      </w:r>
      <w:r>
        <w:rPr>
          <w:i/>
          <w:iCs/>
        </w:rPr>
        <w:t xml:space="preserve">Compressed Natural Gas</w:t>
      </w:r>
      <w:r>
        <w:t xml:space="preserve">), LPG, atau genset diesel menjaga operasi kritis saat moda utama tersendat; burner</w:t>
      </w:r>
      <w:r>
        <w:t xml:space="preserve"> </w:t>
      </w:r>
      <w:r>
        <w:rPr>
          <w:i/>
          <w:iCs/>
        </w:rPr>
        <w:t xml:space="preserve">dual-fuel</w:t>
      </w:r>
      <w:r>
        <w:t xml:space="preserve"> </w:t>
      </w:r>
      <w:r>
        <w:t xml:space="preserve">memudahkan peralihan.</w:t>
      </w:r>
    </w:p>
    <w:p>
      <w:pPr>
        <w:pStyle w:val="Compact"/>
        <w:numPr>
          <w:ilvl w:val="0"/>
          <w:numId w:val="1002"/>
        </w:numPr>
      </w:pPr>
      <w:r>
        <w:rPr>
          <w:b/>
          <w:bCs/>
        </w:rPr>
        <w:t xml:space="preserve">Stok penyangga (</w:t>
      </w:r>
      <w:r>
        <w:rPr>
          <w:b/>
          <w:bCs/>
          <w:i/>
          <w:iCs/>
        </w:rPr>
        <w:t xml:space="preserve">safety stock</w:t>
      </w:r>
      <w:r>
        <w:rPr>
          <w:b/>
          <w:bCs/>
        </w:rPr>
        <w:t xml:space="preserve">).</w:t>
      </w:r>
      <w:r>
        <w:t xml:space="preserve"> </w:t>
      </w:r>
      <w:r>
        <w:t xml:space="preserve">Cadangan beberapa hari operasi memberi ruang bernapas saat pengiriman telat, sepanjang biayanya sepadan.</w:t>
      </w:r>
    </w:p>
    <w:p>
      <w:pPr>
        <w:pStyle w:val="Compact"/>
        <w:numPr>
          <w:ilvl w:val="0"/>
          <w:numId w:val="1002"/>
        </w:numPr>
      </w:pPr>
      <w:r>
        <w:rPr>
          <w:b/>
          <w:bCs/>
        </w:rPr>
        <w:t xml:space="preserve">Lindung nilai lewat kontrak.</w:t>
      </w:r>
      <w:r>
        <w:t xml:space="preserve"> </w:t>
      </w:r>
      <w:r>
        <w:t xml:space="preserve">Kontrak jangka panjang berbasis indeksasi meredam guncangan harga spot harian. Ini satu tuas, bukan jawaban tunggal.</w:t>
      </w:r>
    </w:p>
    <w:p>
      <w:pPr>
        <w:pStyle w:val="Compact"/>
        <w:numPr>
          <w:ilvl w:val="0"/>
          <w:numId w:val="1002"/>
        </w:numPr>
      </w:pPr>
      <w:r>
        <w:rPr>
          <w:b/>
          <w:bCs/>
        </w:rPr>
        <w:t xml:space="preserve">Klausul</w:t>
      </w:r>
      <w:r>
        <w:rPr>
          <w:b/>
          <w:bCs/>
        </w:rPr>
        <w:t xml:space="preserve"> </w:t>
      </w:r>
      <w:r>
        <w:rPr>
          <w:b/>
          <w:bCs/>
          <w:i/>
          <w:iCs/>
        </w:rPr>
        <w:t xml:space="preserve">force majeure</w:t>
      </w:r>
      <w:r>
        <w:rPr>
          <w:b/>
          <w:bCs/>
        </w:rPr>
        <w:t xml:space="preserve"> </w:t>
      </w:r>
      <w:r>
        <w:rPr>
          <w:b/>
          <w:bCs/>
        </w:rPr>
        <w:t xml:space="preserve">dan eskalasi.</w:t>
      </w:r>
      <w:r>
        <w:t xml:space="preserve"> </w:t>
      </w:r>
      <w:r>
        <w:t xml:space="preserve">Redaksi yang jelas plus jalur eskalasi (SLA) menentukan siapa menanggung apa saat pasokan terhenti di luar kendali.</w:t>
      </w:r>
    </w:p>
    <w:p>
      <w:pPr>
        <w:pStyle w:val="FirstParagraph"/>
      </w:pPr>
      <w:r>
        <w:t xml:space="preserve">CNG cocok sebagai cadangan karena, secara teknis, tidak menuntut rantai dingin kriogenik seperti LNG; ia dikirim via</w:t>
      </w:r>
      <w:r>
        <w:t xml:space="preserve"> </w:t>
      </w:r>
      <w:r>
        <w:rPr>
          <w:i/>
          <w:iCs/>
        </w:rPr>
        <w:t xml:space="preserve">Gas Transportation Module</w:t>
      </w:r>
      <w:r>
        <w:t xml:space="preserve"> </w:t>
      </w:r>
      <w:r>
        <w:t xml:space="preserve">(GTM) pada suhu ruang, jadi relatif lebih lincah untuk kebutuhan jangka pendek. Ini penalaran teknis, bukan janji CNG lebih murah per unit energi. Di sini keterhubungan penyalur dengan rantai pasok gas bumi nasional berperan: layanan seperti</w:t>
      </w:r>
      <w:r>
        <w:t xml:space="preserve"> </w:t>
      </w:r>
      <w:hyperlink r:id="rId22">
        <w:r>
          <w:rPr>
            <w:rStyle w:val="Hyperlink"/>
          </w:rPr>
          <w:t xml:space="preserve">Gaslink untuk industri dan komersial</w:t>
        </w:r>
      </w:hyperlink>
      <w:r>
        <w:t xml:space="preserve"> </w:t>
      </w:r>
      <w:r>
        <w:t xml:space="preserve">dari PGN Gagas menyalurkan CNG ke lokasi di luar jangkauan pipa, melengkapi pasokan LNG utama.</w:t>
      </w:r>
    </w:p>
    <w:p>
      <w:pPr>
        <w:pStyle w:val="BodyText"/>
      </w:pPr>
      <w:r>
        <w:rPr>
          <w:i/>
          <w:iCs/>
        </w:rPr>
        <w:t xml:space="preserve">[Image 02: Infografik lima tuas kelangsungan pasokan LNG sebagai pentagon: diversifikasi sumber, moda cadangan (CNG/LPG/diesel), stok penyangga, lindung nilai kontrak, klausul force majeure &amp; eskalasi; gaya biru-hijau, teks Bahasa Indonesia]</w:t>
      </w:r>
    </w:p>
    <w:bookmarkEnd w:id="23"/>
    <w:bookmarkStart w:id="26" w:name="X57127569218301bf3a605dd08f4ba4853189e70"/>
    <w:p>
      <w:pPr>
        <w:pStyle w:val="Heading2"/>
      </w:pPr>
      <w:r>
        <w:t xml:space="preserve">Berapa Banyak Cadangan yang Cukup? Menyeimbangkan Biaya vs Risiko</w:t>
      </w:r>
    </w:p>
    <w:p>
      <w:pPr>
        <w:pStyle w:val="FirstParagraph"/>
      </w:pPr>
      <w:r>
        <w:t xml:space="preserve">Tidak ada angka baku. Durasi stok penyangga yang ideal mengikuti tiga hal: seberapa kritis proses produksi Anda, berapa lama pemasok cadangan butuh untuk merespons, dan berapa biaya menyimpannya (termasuk</w:t>
      </w:r>
      <w:r>
        <w:t xml:space="preserve"> </w:t>
      </w:r>
      <w:r>
        <w:rPr>
          <w:i/>
          <w:iCs/>
        </w:rPr>
        <w:t xml:space="preserve">boil-off</w:t>
      </w:r>
      <w:r>
        <w:t xml:space="preserve"> </w:t>
      </w:r>
      <w:r>
        <w:t xml:space="preserve">untuk LNG). Prinsipnya, biaya berjaga tidak boleh melampaui kerugian yang dicegah.</w:t>
      </w:r>
    </w:p>
    <w:p>
      <w:pPr>
        <w:pStyle w:val="BodyText"/>
      </w:pPr>
      <w:r>
        <w:t xml:space="preserve">Tak ada standar universal. American Gas Association dan IEA memperlakukan penyimpanan gas sebagai penyangga fleksibilitas tanpa menetapkan jumlah hari baku lintas industri; angka apa pun sebaiknya dianggap ilustrasi. Beberapa hari hingga sekitar dua minggu operasi kritis lazim jadi titik awal, lalu disesuaikan pemetaan risiko tiap pabrik.</w:t>
      </w:r>
    </w:p>
    <w:p>
      <w:pPr>
        <w:pStyle w:val="BodyText"/>
      </w:pPr>
      <w:r>
        <w:t xml:space="preserve">Resiliensi terasa mendesak karena gejolak 2026 langsung terasa di ongkos. Pemerintah sampai mematok harga LNG industri di US$13/MMBTU hingga 31 Desember 2026, turun dari kisaran US$20–23/MMBTU (</w:t>
      </w:r>
      <w:hyperlink r:id="rId24">
        <w:r>
          <w:rPr>
            <w:rStyle w:val="Hyperlink"/>
          </w:rPr>
          <w:t xml:space="preserve">Kementerian ESDM, 29 Juni 2026</w:t>
        </w:r>
      </w:hyperlink>
      <w:r>
        <w:t xml:space="preserve">), sementara</w:t>
      </w:r>
      <w:r>
        <w:t xml:space="preserve"> </w:t>
      </w:r>
      <w:hyperlink r:id="rId25">
        <w:r>
          <w:rPr>
            <w:rStyle w:val="Hyperlink"/>
          </w:rPr>
          <w:t xml:space="preserve">skema Harga Gas Bumi Tertentu (HGBT)</w:t>
        </w:r>
      </w:hyperlink>
      <w:r>
        <w:t xml:space="preserve"> </w:t>
      </w:r>
      <w:r>
        <w:t xml:space="preserve">berjalan di US$6,5–7/MMBTU untuk 253 pengguna di tujuh sektor prioritas. Intervensi harga meredakan risiko harga, bukan menjamin barang selalu tiba tepat waktu.</w:t>
      </w:r>
    </w:p>
    <w:p>
      <w:pPr>
        <w:pStyle w:val="BodyText"/>
      </w:pPr>
      <w:r>
        <w:t xml:space="preserve">Soal fleksibilitas kontrak, ada preseden yang sering disalahpahami. Pada 2020, saat serapan gas nasional turun ke sekitar 79% target, sejumlah pembeli mengajukan relaksasi</w:t>
      </w:r>
      <w:r>
        <w:t xml:space="preserve"> </w:t>
      </w:r>
      <w:r>
        <w:rPr>
          <w:i/>
          <w:iCs/>
        </w:rPr>
        <w:t xml:space="preserve">take-or-pay</w:t>
      </w:r>
      <w:r>
        <w:t xml:space="preserve"> </w:t>
      </w:r>
      <w:r>
        <w:t xml:space="preserve">ke SKK Migas (Kontan, Juni 2020). Mekanismenya pernah dipakai, tetapi penerapannya bergantung pada redaksi tiap kontrak, tidak otomatis.</w:t>
      </w:r>
    </w:p>
    <w:bookmarkEnd w:id="26"/>
    <w:bookmarkStart w:id="27" w:name="X50a0be236ec5a7e046d136ea283f022c65675ad"/>
    <w:p>
      <w:pPr>
        <w:pStyle w:val="Heading2"/>
      </w:pPr>
      <w:r>
        <w:t xml:space="preserve">Kapan Anda Justru Terlalu Banyak Berjaga (Over-Engineering Continuity)</w:t>
      </w:r>
    </w:p>
    <w:p>
      <w:pPr>
        <w:pStyle w:val="FirstParagraph"/>
      </w:pPr>
      <w:r>
        <w:t xml:space="preserve">Ketika biaya berjaga melampaui kerugian yang mungkin terjadi. Menyiapkan cadangan untuk setiap skenario, termasuk yang kemungkinannya kecil, mengubah modal kerja jadi modal mati: sewa tangki menganggur,</w:t>
      </w:r>
      <w:r>
        <w:t xml:space="preserve"> </w:t>
      </w:r>
      <w:r>
        <w:rPr>
          <w:i/>
          <w:iCs/>
        </w:rPr>
        <w:t xml:space="preserve">boil-off</w:t>
      </w:r>
      <w:r>
        <w:t xml:space="preserve"> </w:t>
      </w:r>
      <w:r>
        <w:t xml:space="preserve">yang menguap, dan kontrak ganda dengan premi mahal. Tidak semua pabrik butuh redundansi penuh.</w:t>
      </w:r>
    </w:p>
    <w:p>
      <w:pPr>
        <w:pStyle w:val="BodyText"/>
      </w:pPr>
      <w:r>
        <w:t xml:space="preserve">Bagian ini jarang ditulis penyedia energi, padahal penting. Redundansi bukan tujuan, melainkan alat. Pabrik dengan proses yang bisa dijeda atau dijadwalkan ulang tanpa kerugian besar sering lebih baik mengandalkan kontrak dengan SLA respons cepat ketimbang menimbun cadangan fisik yang jarang terpakai.</w:t>
      </w:r>
    </w:p>
    <w:p>
      <w:pPr>
        <w:pStyle w:val="BodyText"/>
      </w:pPr>
      <w:r>
        <w:t xml:space="preserve">Aturan praktisnya: mulai dari risiko yang paling mungkin terjadi dan paling besar dampaknya, bukan dari daftar lengkap semua kemungkinan. IEA menegaskan tak ada satu model ketahanan yang cocok untuk semua kondisi. Bagi banyak pembeli, diversifikasi pemasok plus stok penyangga sedang jauh lebih ekonomis daripada berjaga untuk skenario yang mungkin tak pernah datang.</w:t>
      </w:r>
    </w:p>
    <w:bookmarkEnd w:id="27"/>
    <w:bookmarkStart w:id="35" w:name="faq-pertanyaan-yang-sering-diajukan"/>
    <w:p>
      <w:pPr>
        <w:pStyle w:val="Heading2"/>
      </w:pPr>
      <w:r>
        <w:t xml:space="preserve">FAQ (Pertanyaan yang Sering Diajukan)</w:t>
      </w:r>
    </w:p>
    <w:bookmarkStart w:id="28" w:name="Xed79df1fcd4027c0352a5fa4ebdd8fbc7e3ecca"/>
    <w:p>
      <w:pPr>
        <w:pStyle w:val="Heading3"/>
      </w:pPr>
      <w:r>
        <w:t xml:space="preserve">Bagaimana cara menjaga keandalan pasokan gas untuk pabrik?</w:t>
      </w:r>
    </w:p>
    <w:p>
      <w:pPr>
        <w:pStyle w:val="FirstParagraph"/>
      </w:pPr>
      <w:r>
        <w:t xml:space="preserve">Keandalan dibangun dari kombinasi: diversifikasi pemasok agar tak ada satu titik gagal, moda cadangan seperti CNG atau LPG, stok penyangga yang proporsional, dan klausul kontrak yang jelas (force majeure, jalur eskalasi). IEA menegaskan paduan cadangan fisik dan fleksibilitas komersial biasanya paling efektif.</w:t>
      </w:r>
    </w:p>
    <w:bookmarkEnd w:id="28"/>
    <w:bookmarkStart w:id="29" w:name="Xd156aea755ded58047eeb178ec2d5517362a5e7"/>
    <w:p>
      <w:pPr>
        <w:pStyle w:val="Heading3"/>
      </w:pPr>
      <w:r>
        <w:t xml:space="preserve">Apa itu business continuity plan (BCP) untuk energi?</w:t>
      </w:r>
    </w:p>
    <w:p>
      <w:pPr>
        <w:pStyle w:val="FirstParagraph"/>
      </w:pPr>
      <w:r>
        <w:rPr>
          <w:i/>
          <w:iCs/>
        </w:rPr>
        <w:t xml:space="preserve">Business continuity plan</w:t>
      </w:r>
      <w:r>
        <w:t xml:space="preserve"> </w:t>
      </w:r>
      <w:r>
        <w:t xml:space="preserve">(BCP) energi adalah rencana terstruktur agar operasi tetap berjalan saat pasokan bahan bakar terganggu: pemetaan risiko, sumber cadangan, prosedur eskalasi, dan ambang keputusan kapan beralih moda. Fokusnya bukan dokumen kepatuhan administratif, melainkan langkah nyata yang bisa dijalankan tim ketika pasokan utama gagal.</w:t>
      </w:r>
    </w:p>
    <w:bookmarkEnd w:id="29"/>
    <w:bookmarkStart w:id="30" w:name="X7f940ebe2304f97076c8c1fbc15edd00f29fb60"/>
    <w:p>
      <w:pPr>
        <w:pStyle w:val="Heading3"/>
      </w:pPr>
      <w:r>
        <w:t xml:space="preserve">Apa saja risiko utama bergantung pada LNG?</w:t>
      </w:r>
    </w:p>
    <w:p>
      <w:pPr>
        <w:pStyle w:val="FirstParagraph"/>
      </w:pPr>
      <w:r>
        <w:t xml:space="preserve">Tiga yang utama: volatilitas harga global (indeks JKM naik sekitar 111% sepanjang 2026, menurut detikFinance), gangguan logistik pada rute pelayaran (penutupan Selat Hormuz akhir Februari 2026 sempat memangkas sekitar 20% pasokan LNG global, menurut IEA), dan ketergantungan pada satu pemasok tanpa alternatif.</w:t>
      </w:r>
    </w:p>
    <w:bookmarkEnd w:id="30"/>
    <w:bookmarkStart w:id="31" w:name="X97a49ba14281ced2508ec9fd08717ae43b968f2"/>
    <w:p>
      <w:pPr>
        <w:pStyle w:val="Heading3"/>
      </w:pPr>
      <w:r>
        <w:t xml:space="preserve">Bagaimana menghadapi harga LNG yang fluktuatif?</w:t>
      </w:r>
    </w:p>
    <w:p>
      <w:pPr>
        <w:pStyle w:val="FirstParagraph"/>
      </w:pPr>
      <w:r>
        <w:t xml:space="preserve">Kombinasikan kontrak jangka panjang berbasis indeksasi (mengurangi eksposur harga spot harian) dengan memantau kebijakan pemerintah, misalnya patokan harga LNG industri US$13/MMBTU hingga 31 Desember 2026 dan skema HGBT US$6,5–7/MMBTU untuk sektor tertentu (Kementerian ESDM). Diversifikasi pemasok turut meredam eksposur ke satu titik harga.</w:t>
      </w:r>
    </w:p>
    <w:bookmarkEnd w:id="31"/>
    <w:bookmarkStart w:id="32" w:name="Xee1236f4cdf244e50b5e3e134e1ff0735cce2c0"/>
    <w:p>
      <w:pPr>
        <w:pStyle w:val="Heading3"/>
      </w:pPr>
      <w:r>
        <w:t xml:space="preserve">Apa itu take-or-pay dan bagaimana pengaruhnya saat pasokan terganggu?</w:t>
      </w:r>
    </w:p>
    <w:p>
      <w:pPr>
        <w:pStyle w:val="FirstParagraph"/>
      </w:pPr>
      <w:r>
        <w:rPr>
          <w:i/>
          <w:iCs/>
        </w:rPr>
        <w:t xml:space="preserve">Take-or-pay</w:t>
      </w:r>
      <w:r>
        <w:t xml:space="preserve"> </w:t>
      </w:r>
      <w:r>
        <w:t xml:space="preserve">adalah klausul yang mewajibkan pembeli membayar volume minimum meski serapan aktualnya lebih rendah. Saat pasokan terganggu, klausul</w:t>
      </w:r>
      <w:r>
        <w:t xml:space="preserve"> </w:t>
      </w:r>
      <w:r>
        <w:rPr>
          <w:i/>
          <w:iCs/>
        </w:rPr>
        <w:t xml:space="preserve">force majeure</w:t>
      </w:r>
      <w:r>
        <w:t xml:space="preserve"> </w:t>
      </w:r>
      <w:r>
        <w:t xml:space="preserve">(Pasal 1244–1245 KUH Perdata) dapat membebaskan kewajiban bila peristiwanya di luar kendali. Pada 2020, sejumlah pembeli sempat mengajukan relaksasi take-or-pay ke SKK Migas.</w:t>
      </w:r>
    </w:p>
    <w:bookmarkEnd w:id="32"/>
    <w:bookmarkStart w:id="33" w:name="X06123e9cbefe010bd1f0517f5f8438b8eb1e704"/>
    <w:p>
      <w:pPr>
        <w:pStyle w:val="Heading3"/>
      </w:pPr>
      <w:r>
        <w:t xml:space="preserve">Perlukah menyiapkan bahan bakar cadangan selain LNG?</w:t>
      </w:r>
    </w:p>
    <w:p>
      <w:pPr>
        <w:pStyle w:val="FirstParagraph"/>
      </w:pPr>
      <w:r>
        <w:t xml:space="preserve">Untuk operasi yang tak boleh berhenti, moda cadangan seperti CNG, LPG, atau genset diesel adalah praktik lazim manajemen risiko energi, bukan keharusan bagi semua pengguna. IEA merekomendasikan opsi seperti</w:t>
      </w:r>
      <w:r>
        <w:t xml:space="preserve"> </w:t>
      </w:r>
      <w:r>
        <w:rPr>
          <w:i/>
          <w:iCs/>
        </w:rPr>
        <w:t xml:space="preserve">buffer</w:t>
      </w:r>
      <w:r>
        <w:t xml:space="preserve"> </w:t>
      </w:r>
      <w:r>
        <w:t xml:space="preserve">LNG dan cadangan lintas negara sebagai bagian arsitektur ketahanan pasokan. Keputusannya sebaiknya mengikuti besar-kecilnya dampak jika pasokan berhenti, bukan sekadar tren pasar.</w:t>
      </w:r>
    </w:p>
    <w:bookmarkEnd w:id="33"/>
    <w:bookmarkStart w:id="34" w:name="X7b74cc5923fc7eb9f449439118a76a04308e240"/>
    <w:p>
      <w:pPr>
        <w:pStyle w:val="Heading3"/>
      </w:pPr>
      <w:r>
        <w:t xml:space="preserve">Berapa lama stok gas cadangan yang ideal untuk pabrik?</w:t>
      </w:r>
    </w:p>
    <w:p>
      <w:pPr>
        <w:pStyle w:val="FirstParagraph"/>
      </w:pPr>
      <w:r>
        <w:t xml:space="preserve">Tidak ada angka baku yang berlaku universal. Durasi</w:t>
      </w:r>
      <w:r>
        <w:t xml:space="preserve"> </w:t>
      </w:r>
      <w:r>
        <w:rPr>
          <w:i/>
          <w:iCs/>
        </w:rPr>
        <w:t xml:space="preserve">safety stock</w:t>
      </w:r>
      <w:r>
        <w:t xml:space="preserve"> </w:t>
      </w:r>
      <w:r>
        <w:t xml:space="preserve">idealnya mengikuti kekritisan proses produksi, waktu respons pemasok cadangan, dan biaya penyimpanan (termasuk</w:t>
      </w:r>
      <w:r>
        <w:t xml:space="preserve"> </w:t>
      </w:r>
      <w:r>
        <w:rPr>
          <w:i/>
          <w:iCs/>
        </w:rPr>
        <w:t xml:space="preserve">boil-off</w:t>
      </w:r>
      <w:r>
        <w:t xml:space="preserve"> </w:t>
      </w:r>
      <w:r>
        <w:t xml:space="preserve">untuk LNG). Sebagai ilustrasi, sejumlah kerangka manajemen risiko memakai rentang beberapa hari hingga sekitar dua minggu operasi kritis sebagai titik awal, lalu disesuaikan dengan hasil pemetaan risiko tiap pabrik.</w:t>
      </w:r>
    </w:p>
    <w:bookmarkEnd w:id="34"/>
    <w:bookmarkEnd w:id="35"/>
    <w:bookmarkStart w:id="36" w:name="kesimpulan"/>
    <w:p>
      <w:pPr>
        <w:pStyle w:val="Heading2"/>
      </w:pPr>
      <w:r>
        <w:t xml:space="preserve">Kesimpulan</w:t>
      </w:r>
    </w:p>
    <w:p>
      <w:pPr>
        <w:pStyle w:val="FirstParagraph"/>
      </w:pPr>
      <w:r>
        <w:t xml:space="preserve">Kembali ke lini produksi yang berhenti karena gas telat: kerugiannya nyata dan sebagian besar bisa dicegah. Keandalan pasokan bukan soal menemukan satu pemasok hebat, melainkan merancang portofolio yang tetap tegak saat satu simpul goyah, lalu berjaga secukupnya. Di antara perusahaan LNG di Indonesia, penyalur yang terhubung dengan rantai pasok gas bumi nasional layak dinilai. Sebagai anak usaha PGN dalam Subholding Gas Pertamina, PGN Gagas menyalurkan gas bumi</w:t>
      </w:r>
      <w:r>
        <w:t xml:space="preserve"> </w:t>
      </w:r>
      <w:r>
        <w:rPr>
          <w:i/>
          <w:iCs/>
        </w:rPr>
        <w:t xml:space="preserve">beyond-pipeline</w:t>
      </w:r>
      <w:r>
        <w:t xml:space="preserve"> </w:t>
      </w:r>
      <w:r>
        <w:t xml:space="preserve">lewat LNG Hub dan CNG (Gaslink) ke lokasi di luar jangkauan pipa, sebagai salah satu opsi yang dapat dinilai, bukan jaminan bebas risiko.</w:t>
      </w:r>
    </w:p>
    <w:p>
      <w:pPr>
        <w:pStyle w:val="BodyText"/>
      </w:pPr>
      <w:r>
        <w:t xml:space="preserve">Untuk menakar kesiapan strategi kelangsungan pasokan gas di perusahaan Anda dan menjajaki opsi penyaluran yang sesuai, kunjungi gagas.co.id.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4" Target="https://www.esdm.go.id/id/media-center/arsip-berita/selamatkan-industri-menteri-esdm-turunkan-harga-lng-industri" TargetMode="External" /><Relationship Type="http://schemas.openxmlformats.org/officeDocument/2006/relationships/hyperlink" Id="rId25" Target="https://www.esdm.go.id/id/media-center/arsip-berita/skema-baru-hgbt-perkuat-daya-saing-industri-dan-efisiensi-anggaran-negara" TargetMode="External" /><Relationship Type="http://schemas.openxmlformats.org/officeDocument/2006/relationships/hyperlink" Id="rId19" Target="https://www.iea.org/reports/gas-market-report-q3-2026/executive-summary"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link/" TargetMode="External" /><Relationship Type="http://schemas.openxmlformats.org/officeDocument/2006/relationships/hyperlink" Id="rId21" Target="https://gagas.co.id/perusahaan-cng-indonesia/" TargetMode="External" /><Relationship Type="http://schemas.openxmlformats.org/officeDocument/2006/relationships/hyperlink" Id="rId17" Target="https://gagas.co.id/perusahaan-lng-indonesia/" TargetMode="External" /><Relationship Type="http://schemas.openxmlformats.org/officeDocument/2006/relationships/hyperlink" Id="rId24" Target="https://www.esdm.go.id/id/media-center/arsip-berita/selamatkan-industri-menteri-esdm-turunkan-harga-lng-industri" TargetMode="External" /><Relationship Type="http://schemas.openxmlformats.org/officeDocument/2006/relationships/hyperlink" Id="rId25" Target="https://www.esdm.go.id/id/media-center/arsip-berita/skema-baru-hgbt-perkuat-daya-saing-industri-dan-efisiensi-anggaran-negara" TargetMode="External" /><Relationship Type="http://schemas.openxmlformats.org/officeDocument/2006/relationships/hyperlink" Id="rId19" Target="https://www.iea.org/reports/gas-market-report-q3-2026/executive-summ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2026-09-28T13:11:15Z</dcterms:created>
  <dcterms:modified xsi:type="dcterms:W3CDTF">2026-09-28T13:11:15Z</dcterms:modified>
</cp:coreProperties>
</file>

<file path=docProps/custom.xml><?xml version="1.0" encoding="utf-8"?>
<Properties xmlns="http://schemas.openxmlformats.org/officeDocument/2006/custom-properties" xmlns:vt="http://schemas.openxmlformats.org/officeDocument/2006/docPropsVTypes"/>
</file>