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"Capacity Building Pembiayaan Kreatif: Fondasi Kapasitas PJPK"</w:t>
      </w:r>
      <w:r>
        <w:br/>
      </w:r>
      <w:r>
        <w:rPr>
          <w:rStyle w:val="FunctionTok"/>
        </w:rPr>
        <w:t xml:space="preserve">meta_title</w:t>
      </w:r>
      <w:r>
        <w:rPr>
          <w:rStyle w:val="KeywordTok"/>
        </w:rPr>
        <w:t xml:space="preserve">:</w:t>
      </w:r>
      <w:r>
        <w:rPr>
          <w:rStyle w:val="AttributeTok"/>
        </w:rPr>
        <w:t xml:space="preserve"> </w:t>
      </w:r>
      <w:r>
        <w:rPr>
          <w:rStyle w:val="StringTok"/>
        </w:rPr>
        <w:t xml:space="preserve">"Capacity Building Pembiayaan Kreatif: Fondasi PJPK"</w:t>
      </w:r>
      <w:r>
        <w:br/>
      </w:r>
      <w:r>
        <w:rPr>
          <w:rStyle w:val="FunctionTok"/>
        </w:rPr>
        <w:t xml:space="preserve">meta_description</w:t>
      </w:r>
      <w:r>
        <w:rPr>
          <w:rStyle w:val="KeywordTok"/>
        </w:rPr>
        <w:t xml:space="preserve">:</w:t>
      </w:r>
      <w:r>
        <w:rPr>
          <w:rStyle w:val="AttributeTok"/>
        </w:rPr>
        <w:t xml:space="preserve"> </w:t>
      </w:r>
      <w:r>
        <w:rPr>
          <w:rStyle w:val="StringTok"/>
        </w:rPr>
        <w:t xml:space="preserve">"Capacity building pembiayaan kreatif: definisi menurut UU HKPD 2022, peta peran PJPK dan Simpul KPBU, empat kompetensi kesiapan, plus tiga salah kaprahnya."</w:t>
      </w:r>
      <w:r>
        <w:br/>
      </w:r>
      <w:r>
        <w:rPr>
          <w:rStyle w:val="FunctionTok"/>
        </w:rPr>
        <w:t xml:space="preserve">slug</w:t>
      </w:r>
      <w:r>
        <w:rPr>
          <w:rStyle w:val="KeywordTok"/>
        </w:rPr>
        <w:t xml:space="preserve">:</w:t>
      </w:r>
      <w:r>
        <w:rPr>
          <w:rStyle w:val="AttributeTok"/>
        </w:rPr>
        <w:t xml:space="preserve"> </w:t>
      </w:r>
      <w:r>
        <w:rPr>
          <w:rStyle w:val="StringTok"/>
        </w:rPr>
        <w:t xml:space="preserve">"capacity-building-pembiayaan-kreatif"</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"pembiayaan kreatif infrastruktur"</w:t>
      </w:r>
      <w:r>
        <w:rPr>
          <w:rStyle w:val="KeywordTok"/>
        </w:rPr>
        <w:t xml:space="preserve">,</w:t>
      </w:r>
      <w:r>
        <w:rPr>
          <w:rStyle w:val="AttributeTok"/>
        </w:rPr>
        <w:t xml:space="preserve"> </w:t>
      </w:r>
      <w:r>
        <w:rPr>
          <w:rStyle w:val="StringTok"/>
        </w:rPr>
        <w:t xml:space="preserve">"KPBU"</w:t>
      </w:r>
      <w:r>
        <w:rPr>
          <w:rStyle w:val="KeywordTok"/>
        </w:rPr>
        <w:t xml:space="preserve">,</w:t>
      </w:r>
      <w:r>
        <w:rPr>
          <w:rStyle w:val="AttributeTok"/>
        </w:rPr>
        <w:t xml:space="preserve"> </w:t>
      </w:r>
      <w:r>
        <w:rPr>
          <w:rStyle w:val="StringTok"/>
        </w:rPr>
        <w:t xml:space="preserve">"PJPK"</w:t>
      </w:r>
      <w:r>
        <w:rPr>
          <w:rStyle w:val="KeywordTok"/>
        </w:rPr>
        <w:t xml:space="preserve">,</w:t>
      </w:r>
      <w:r>
        <w:rPr>
          <w:rStyle w:val="AttributeTok"/>
        </w:rPr>
        <w:t xml:space="preserve"> </w:t>
      </w:r>
      <w:r>
        <w:rPr>
          <w:rStyle w:val="StringTok"/>
        </w:rPr>
        <w:t xml:space="preserve">"UU HKPD"</w:t>
      </w:r>
      <w:r>
        <w:rPr>
          <w:rStyle w:val="KeywordTok"/>
        </w:rPr>
        <w:t xml:space="preserve">,</w:t>
      </w:r>
      <w:r>
        <w:rPr>
          <w:rStyle w:val="AttributeTok"/>
        </w:rPr>
        <w:t xml:space="preserve"> </w:t>
      </w:r>
      <w:r>
        <w:rPr>
          <w:rStyle w:val="StringTok"/>
        </w:rPr>
        <w:t xml:space="preserve">"Simpul KPBU"</w:t>
      </w:r>
      <w:r>
        <w:rPr>
          <w:rStyle w:val="KeywordTok"/>
        </w:rPr>
        <w:t xml:space="preserve">,</w:t>
      </w:r>
      <w:r>
        <w:rPr>
          <w:rStyle w:val="AttributeTok"/>
        </w:rPr>
        <w:t xml:space="preserve"> </w:t>
      </w:r>
      <w:r>
        <w:rPr>
          <w:rStyle w:val="StringTok"/>
        </w:rPr>
        <w:t xml:space="preserve">"Kantor Bersama KPBU"</w:t>
      </w:r>
      <w:r>
        <w:rPr>
          <w:rStyle w:val="KeywordTok"/>
        </w:rPr>
        <w:t xml:space="preserve">,</w:t>
      </w:r>
      <w:r>
        <w:rPr>
          <w:rStyle w:val="AttributeTok"/>
        </w:rPr>
        <w:t xml:space="preserve"> </w:t>
      </w:r>
      <w:r>
        <w:rPr>
          <w:rStyle w:val="StringTok"/>
        </w:rPr>
        <w:t xml:space="preserve">"kapasitas fiskal daerah"</w:t>
      </w:r>
      <w:r>
        <w:rPr>
          <w:rStyle w:val="KeywordTok"/>
        </w:rPr>
        <w:t xml:space="preserve">,</w:t>
      </w:r>
      <w:r>
        <w:rPr>
          <w:rStyle w:val="AttributeTok"/>
        </w:rPr>
        <w:t xml:space="preserve"> </w:t>
      </w:r>
      <w:r>
        <w:rPr>
          <w:rStyle w:val="StringTok"/>
        </w:rPr>
        <w:t xml:space="preserve">"Availability Payment"</w:t>
      </w:r>
      <w:r>
        <w:rPr>
          <w:rStyle w:val="KeywordTok"/>
        </w:rPr>
        <w:t xml:space="preserve">,</w:t>
      </w:r>
      <w:r>
        <w:rPr>
          <w:rStyle w:val="AttributeTok"/>
        </w:rPr>
        <w:t xml:space="preserve"> </w:t>
      </w:r>
      <w:r>
        <w:rPr>
          <w:rStyle w:val="StringTok"/>
        </w:rPr>
        <w:t xml:space="preserve">"penyediaan infrastruktur daerah"</w:t>
      </w:r>
      <w:r>
        <w:rPr>
          <w:rStyle w:val="KeywordTok"/>
        </w:rPr>
        <w:t xml:space="preserve">,</w:t>
      </w:r>
      <w:r>
        <w:rPr>
          <w:rStyle w:val="AttributeTok"/>
        </w:rPr>
        <w:t xml:space="preserve"> </w:t>
      </w:r>
      <w:r>
        <w:rPr>
          <w:rStyle w:val="StringTok"/>
        </w:rPr>
        <w:t xml:space="preserve">"skema pembiayaan non-APBD"</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"pelatihan 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Pembayaran Ketersediaan Layanan (Availability Payment), komposisi Kantor Bersama KPBU, penyebab proyek KPBU daerah tersendat, dan skala kegiatan capacity building daerah"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"https://peraturan.bpk.go.id/Details/41764/perpres-no-38-tahun-2015"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"Identitas dan status berlaku Peraturan Presiden No. 38 Tahun 2015 tentang KPBU, dasar definisi PJPK"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"https://mediakeuangan.kemenkeu.go.id/article/show/pembiayaan-kreatif-untuk-mengakselerasi-infrastruktur-daerah"</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"Framing kualitatif Kementerian Keuangan bahwa infrastructure gap masih sangat besar dan pendekatan business as usual tidak memadai (dikutip inline, tanpa angka rupiah)"</w:t>
      </w:r>
      <w:r>
        <w:br/>
      </w:r>
      <w:r>
        <w:rPr>
          <w:rStyle w:val="FunctionTok"/>
        </w:rPr>
        <w:t xml:space="preserve">brief_id</w:t>
      </w:r>
      <w:r>
        <w:rPr>
          <w:rStyle w:val="KeywordTok"/>
        </w:rPr>
        <w:t xml:space="preserve">:</w:t>
      </w:r>
      <w:r>
        <w:rPr>
          <w:rStyle w:val="AttributeTok"/>
        </w:rPr>
        <w:t xml:space="preserve"> </w:t>
      </w:r>
      <w:r>
        <w:rPr>
          <w:rStyle w:val="StringTok"/>
        </w:rPr>
        <w:t xml:space="preserve">"capacity-building-pembiayaan-kreatif-01"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1519</w:t>
      </w:r>
    </w:p>
    <w:p>
      <w:r>
        <w:pict>
          <v:rect style="width:0;height:1.5pt" o:hralign="center" o:hrstd="t" o:hr="t"/>
        </w:pict>
      </w:r>
    </w:p>
    <w:bookmarkEnd w:id="16"/>
    <w:bookmarkStart w:id="35" w:name="X456f1c3fedcf271eb0ae0c8b19b5e4f94d4b70a"/>
    <w:p>
      <w:pPr>
        <w:pStyle w:val="Heading1"/>
      </w:pPr>
      <w:r>
        <w:t xml:space="preserve">Capacity Building Pembiayaan Kreatif: Fondasi Kapasitas PJPK</w:t>
      </w:r>
    </w:p>
    <w:p>
      <w:pPr>
        <w:pStyle w:val="FirstParagraph"/>
      </w:pPr>
      <w:r>
        <w:t xml:space="preserve">Seorang kepala bidang di Bappeda pulang dari sesi</w:t>
      </w:r>
      <w:r>
        <w:t xml:space="preserve"> </w:t>
      </w:r>
      <w:r>
        <w:rPr>
          <w:i/>
          <w:iCs/>
        </w:rPr>
        <w:t xml:space="preserve">capacity building</w:t>
      </w:r>
      <w:r>
        <w:t xml:space="preserve"> </w:t>
      </w:r>
      <w:r>
        <w:t xml:space="preserve">dua hari dengan map penuh materi. Di meja kerja, muncul pertanyaan yang tidak terjawab di kelas: proyek mana di daerah ini yang benar-benar cocok dibiayai secara kreatif, dan siapa yang mampu menyiapkannya? Jarak antara</w:t>
      </w:r>
      <w:r>
        <w:t xml:space="preserve"> </w:t>
      </w:r>
      <w:r>
        <w:t xml:space="preserve">“pernah ikut pelatihan”</w:t>
      </w:r>
      <w:r>
        <w:t xml:space="preserve"> </w:t>
      </w:r>
      <w:r>
        <w:t xml:space="preserve">dan</w:t>
      </w:r>
      <w:r>
        <w:t xml:space="preserve"> </w:t>
      </w:r>
      <w:r>
        <w:t xml:space="preserve">“punya kapasitas”</w:t>
      </w:r>
      <w:r>
        <w:t xml:space="preserve"> </w:t>
      </w:r>
      <w:r>
        <w:t xml:space="preserve">biasanya sebesar itu. Artikel ini menutupnya: cakupan istilah pembiayaan kreatif menurut regulasi, alasan APBD murni jarang cukup, peta pelakunya, dan kompetensi yang perlu melekat pada tim sebelum</w:t>
      </w:r>
      <w:r>
        <w:t xml:space="preserve"> </w:t>
      </w:r>
      <w:hyperlink r:id="rId17">
        <w:r>
          <w:rPr>
            <w:rStyle w:val="Hyperlink"/>
          </w:rPr>
          <w:t xml:space="preserve">capacity building pembiayaan kreatif</w:t>
        </w:r>
      </w:hyperlink>
      <w:r>
        <w:t xml:space="preserve"> </w:t>
      </w:r>
      <w:r>
        <w:t xml:space="preserve">berbuah proyek nyata.</w:t>
      </w:r>
    </w:p>
    <w:p>
      <w:pPr>
        <w:pStyle w:val="BlockText"/>
      </w:pPr>
      <w:r>
        <w:rPr>
          <w:b/>
          <w:bCs/>
        </w:rPr>
        <w:t xml:space="preserve">Ringkasnya:</w:t>
      </w:r>
      <w:r>
        <w:t xml:space="preserve"> </w:t>
      </w:r>
      <w:r>
        <w:t xml:space="preserve">Pembiayaan kreatif dalam penyediaan infrastruktur adalah istilah payung untuk skema pendanaan di luar APBN/APBD murni: pembiayaan utang daerah (pinjaman, obligasi, sukuk daerah), Kerja Sama Pemerintah dengan Badan Usaha (KPBU), skema syariah, dan sinergi pendanaan APBD-non-APBD. Diatur dalam UU No. 1 Tahun 2022 (UU HKPD), kerangka ini memberi pemerintah daerah jalur legal mengatasi keterbatasan anggaran murni untuk membangun infrastruktur.</w:t>
      </w:r>
    </w:p>
    <w:bookmarkStart w:id="18" w:name="X2e1a9778ca948bb86d30f5af33961b9fa862df4"/>
    <w:p>
      <w:pPr>
        <w:pStyle w:val="Heading2"/>
      </w:pPr>
      <w:r>
        <w:t xml:space="preserve">Apa itu pembiayaan kreatif dalam penyediaan infrastruktur?</w:t>
      </w:r>
    </w:p>
    <w:p>
      <w:pPr>
        <w:pStyle w:val="FirstParagraph"/>
      </w:pPr>
      <w:r>
        <w:t xml:space="preserve">Pembiayaan kreatif adalah kerangka resmi untuk mendanai infrastruktur di luar belanja APBN/APBD murni. Isinya empat kelompok instrumen: pembiayaan utang daerah, KPBU, skema syariah, dan sinergi pendanaan APBD dengan sumber non-APBD. Kata</w:t>
      </w:r>
      <w:r>
        <w:t xml:space="preserve"> </w:t>
      </w:r>
      <w:r>
        <w:t xml:space="preserve">“kreatif”</w:t>
      </w:r>
      <w:r>
        <w:t xml:space="preserve"> </w:t>
      </w:r>
      <w:r>
        <w:t xml:space="preserve">merujuk pada kombinasi sumber dana yang sah, bukan pada terobosan atau kelonggaran aturan.</w:t>
      </w:r>
    </w:p>
    <w:p>
      <w:pPr>
        <w:pStyle w:val="BodyText"/>
      </w:pPr>
      <w:r>
        <w:t xml:space="preserve">Payung hukumnya Undang-Undang No. 1 Tahun 2022 tentang Hubungan Keuangan antara Pemerintah Pusat dan Pemerintahan Daerah (UU HKPD), diundangkan 5 Januari 2022 dan masih berlaku per publikasi 2026.</w:t>
      </w:r>
    </w:p>
    <w:p>
      <w:pPr>
        <w:pStyle w:val="BodyText"/>
      </w:pPr>
      <w:r>
        <w:t xml:space="preserve">Di ruang kelas, kekeliruan pertama muncul di titik ini: pembiayaan kreatif disamakan dengan KPBU. Padahal KPBU hanya satu dari empat kelompok, dan sifatnya paling 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Kelompok instrumen</w:t>
            </w:r>
          </w:p>
        </w:tc>
        <w:tc>
          <w:tcPr/>
          <w:p>
            <w:pPr>
              <w:pStyle w:val="Compact"/>
            </w:pPr>
            <w:r>
              <w:t xml:space="preserve">Sifat</w:t>
            </w:r>
          </w:p>
        </w:tc>
        <w:tc>
          <w:tcPr/>
          <w:p>
            <w:pPr>
              <w:pStyle w:val="Compact"/>
            </w:pPr>
            <w:r>
              <w:t xml:space="preserve">Bentuk yang lazim</w:t>
            </w:r>
          </w:p>
        </w:tc>
      </w:tr>
      <w:tr>
        <w:tc>
          <w:tcPr/>
          <w:p>
            <w:pPr>
              <w:pStyle w:val="Compact"/>
            </w:pPr>
            <w:r>
              <w:t xml:space="preserve">Pembiayaan utang daerah</w:t>
            </w:r>
          </w:p>
        </w:tc>
        <w:tc>
          <w:tcPr/>
          <w:p>
            <w:pPr>
              <w:pStyle w:val="Compact"/>
            </w:pPr>
            <w:r>
              <w:t xml:space="preserve">Menambah kewajiban utang pemda</w:t>
            </w:r>
          </w:p>
        </w:tc>
        <w:tc>
          <w:tcPr/>
          <w:p>
            <w:pPr>
              <w:pStyle w:val="Compact"/>
            </w:pPr>
            <w:r>
              <w:t xml:space="preserve">Pinjaman daerah, obligasi daerah, sukuk daerah</w:t>
            </w:r>
          </w:p>
        </w:tc>
      </w:tr>
      <w:tr>
        <w:tc>
          <w:tcPr/>
          <w:p>
            <w:pPr>
              <w:pStyle w:val="Compact"/>
            </w:pPr>
            <w:r>
              <w:t xml:space="preserve">KPBU</w:t>
            </w:r>
          </w:p>
        </w:tc>
        <w:tc>
          <w:tcPr/>
          <w:p>
            <w:pPr>
              <w:pStyle w:val="Compact"/>
            </w:pPr>
            <w:r>
              <w:t xml:space="preserve">Berbagi risiko jangka panjang, bukan utang pemerintah</w:t>
            </w:r>
          </w:p>
        </w:tc>
        <w:tc>
          <w:tcPr/>
          <w:p>
            <w:pPr>
              <w:pStyle w:val="Compact"/>
            </w:pPr>
            <w:r>
              <w:t xml:space="preserve">Pengembalian lewat tarif pengguna atau Pembayaran Ketersediaan Layanan</w:t>
            </w:r>
          </w:p>
        </w:tc>
      </w:tr>
      <w:tr>
        <w:tc>
          <w:tcPr/>
          <w:p>
            <w:pPr>
              <w:pStyle w:val="Compact"/>
            </w:pPr>
            <w:r>
              <w:t xml:space="preserve">Skema syariah</w:t>
            </w:r>
          </w:p>
        </w:tc>
        <w:tc>
          <w:tcPr/>
          <w:p>
            <w:pPr>
              <w:pStyle w:val="Compact"/>
            </w:pPr>
            <w:r>
              <w:t xml:space="preserve">Pendanaan sesuai prinsip syariah</w:t>
            </w:r>
          </w:p>
        </w:tc>
        <w:tc>
          <w:tcPr/>
          <w:p>
            <w:pPr>
              <w:pStyle w:val="Compact"/>
            </w:pPr>
            <w:r>
              <w:t xml:space="preserve">Instrumen berbasis akad syariah</w:t>
            </w:r>
          </w:p>
        </w:tc>
      </w:tr>
      <w:tr>
        <w:tc>
          <w:tcPr/>
          <w:p>
            <w:pPr>
              <w:pStyle w:val="Compact"/>
            </w:pPr>
            <w:r>
              <w:t xml:space="preserve">Sinergi pendanaan</w:t>
            </w:r>
          </w:p>
        </w:tc>
        <w:tc>
          <w:tcPr/>
          <w:p>
            <w:pPr>
              <w:pStyle w:val="Compact"/>
            </w:pPr>
            <w:r>
              <w:t xml:space="preserve">Menggabungkan sumber tanpa menambah utang</w:t>
            </w:r>
          </w:p>
        </w:tc>
        <w:tc>
          <w:tcPr/>
          <w:p>
            <w:pPr>
              <w:pStyle w:val="Compact"/>
            </w:pPr>
            <w:r>
              <w:t xml:space="preserve">Kolaborasi APBD dengan dana non-APBD</w:t>
            </w:r>
          </w:p>
        </w:tc>
      </w:tr>
    </w:tbl>
    <w:bookmarkEnd w:id="18"/>
    <w:bookmarkStart w:id="21" w:name="X8d0f92207e078246ecae5fb6ee5b41878188317"/>
    <w:p>
      <w:pPr>
        <w:pStyle w:val="Heading2"/>
      </w:pPr>
      <w:r>
        <w:t xml:space="preserve">Mengapa APBD murni jarang cukup untuk infrastruktur daerah</w:t>
      </w:r>
    </w:p>
    <w:p>
      <w:pPr>
        <w:pStyle w:val="FirstParagraph"/>
      </w:pPr>
      <w:r>
        <w:t xml:space="preserve">Belanja modal infrastruktur menumpuk di awal, sementara manfaatnya tersebar puluhan tahun. APBD tahunan sulit menanggung beban sebesar itu di muka tanpa mengorbankan belanja lain. Kementerian Keuangan menyebut</w:t>
      </w:r>
      <w:r>
        <w:t xml:space="preserve"> </w:t>
      </w:r>
      <w:r>
        <w:rPr>
          <w:i/>
          <w:iCs/>
        </w:rPr>
        <w:t xml:space="preserve">infrastructure gap</w:t>
      </w:r>
      <w:r>
        <w:t xml:space="preserve"> </w:t>
      </w:r>
      <w:r>
        <w:t xml:space="preserve">Indonesia masih sangat besar dan pendekatan</w:t>
      </w:r>
      <w:r>
        <w:t xml:space="preserve"> </w:t>
      </w:r>
      <w:r>
        <w:rPr>
          <w:i/>
          <w:iCs/>
        </w:rPr>
        <w:t xml:space="preserve">business as usual</w:t>
      </w:r>
      <w:r>
        <w:t xml:space="preserve"> </w:t>
      </w:r>
      <w:r>
        <w:t xml:space="preserve">tidak akan mampu mengejarnya (Media Keuangan Kemenkeu, 2026).</w:t>
      </w:r>
    </w:p>
    <w:p>
      <w:pPr>
        <w:pStyle w:val="BodyText"/>
      </w:pPr>
      <w:r>
        <w:t xml:space="preserve">KPBU tidak menghapus kewajiban fiskal; ia mengubah bentuknya.</w:t>
      </w:r>
    </w:p>
    <w:p>
      <w:pPr>
        <w:pStyle w:val="BodyText"/>
      </w:pPr>
      <w:r>
        <w:t xml:space="preserve">Alih-alih satu belanja modal besar di muka, pemerintah membayar</w:t>
      </w:r>
      <w:r>
        <w:t xml:space="preserve"> </w:t>
      </w:r>
      <w:hyperlink r:id="rId19">
        <w:r>
          <w:rPr>
            <w:rStyle w:val="Hyperlink"/>
          </w:rPr>
          <w:t xml:space="preserve">Pembayaran Ketersediaan Layanan</w:t>
        </w:r>
      </w:hyperlink>
      <w:r>
        <w:t xml:space="preserve"> </w:t>
      </w:r>
      <w:r>
        <w:t xml:space="preserve">(</w:t>
      </w:r>
      <w:r>
        <w:rPr>
          <w:i/>
          <w:iCs/>
        </w:rPr>
        <w:t xml:space="preserve">Availability Payment</w:t>
      </w:r>
      <w:r>
        <w:t xml:space="preserve">) secara berkala selama layanan tersedia sesuai kualitas yang diperjanjikan, bersumber dari APBD bila yang menjadi Penanggung Jawab Proyek Kerja Sama (PJPK) adalah kepala daerah. Beban berpindah ke belanja layanan tahunan yang lebih terukur.</w:t>
      </w:r>
    </w:p>
    <w:p>
      <w:pPr>
        <w:pStyle w:val="BodyText"/>
      </w:pPr>
      <w:r>
        <w:t xml:space="preserve">UU HKPD juga membuka ruang bagi pemda bekerja sama pendanaan dengan pihak ketiga, termasuk lewat KPBU.</w:t>
      </w:r>
    </w:p>
    <w:p>
      <w:pPr>
        <w:pStyle w:val="BodyText"/>
      </w:pPr>
      <w:r>
        <w:t xml:space="preserve">Ini bukan wacana. Palapa Ring sepanjang sekitar 10.851 km serat optik dan Satelit Multifungsi Pemerintah berkapasitas 150 Gbps memakai skema Availability Payment;</w:t>
      </w:r>
      <w:r>
        <w:t xml:space="preserve"> </w:t>
      </w:r>
      <w:hyperlink r:id="rId20">
        <w:r>
          <w:rPr>
            <w:rStyle w:val="Hyperlink"/>
          </w:rPr>
          <w:t xml:space="preserve">studi kasus proyek infrastruktur di Indonesia</w:t>
        </w:r>
      </w:hyperlink>
      <w:r>
        <w:t xml:space="preserve"> </w:t>
      </w:r>
      <w:r>
        <w:t xml:space="preserve">(rujukan 2026) mencatat proyeksi kenaikan produk domestik regional bruto 4,5–6,4% dalam sepuluh tahun. Angka itu proyeksi, bukan capaian yang sudah diverifikasi pihak ketiga.</w:t>
      </w:r>
    </w:p>
    <w:bookmarkEnd w:id="21"/>
    <w:bookmarkStart w:id="23" w:name="Xe9265aa661f338d70a4c1907c1c7daf34a75b63"/>
    <w:p>
      <w:pPr>
        <w:pStyle w:val="Heading2"/>
      </w:pPr>
      <w:r>
        <w:t xml:space="preserve">Siapa saja yang terlibat, dan di mana posisi tim Anda?</w:t>
      </w:r>
    </w:p>
    <w:p>
      <w:pPr>
        <w:pStyle w:val="FirstParagraph"/>
      </w:pPr>
      <w:r>
        <w:t xml:space="preserve">Enam peran menentukan nasib sebuah proyek KPBU daerah: PJPK sebagai penanggung jawab, Simpul KPBU sebagai unit kerja internalnya, Kantor Bersama KPBU sebagai forum koordinasi tujuh kementerian/lembaga, badan usaha pelaksana, pemberi penjaminan, dan pemberi fasilitas penyiapan proyek. Tim pemerintah daerah hampir selalu menempati dua peran pertama.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Pelaku</w:t>
            </w:r>
          </w:p>
        </w:tc>
        <w:tc>
          <w:tcPr/>
          <w:p>
            <w:pPr>
              <w:pStyle w:val="Compact"/>
            </w:pPr>
            <w:r>
              <w:t xml:space="preserve">Peran</w:t>
            </w:r>
          </w:p>
        </w:tc>
        <w:tc>
          <w:tcPr/>
          <w:p>
            <w:pPr>
              <w:pStyle w:val="Compact"/>
            </w:pPr>
            <w:r>
              <w:t xml:space="preserve">Level</w:t>
            </w:r>
          </w:p>
        </w:tc>
      </w:tr>
      <w:tr>
        <w:tc>
          <w:tcPr/>
          <w:p>
            <w:pPr>
              <w:pStyle w:val="Compact"/>
            </w:pPr>
            <w:r>
              <w:t xml:space="preserve">PJPK (Menteri, Kepala Lembaga, Kepala Daerah, BUMN/BUMD)</w:t>
            </w:r>
          </w:p>
        </w:tc>
        <w:tc>
          <w:tcPr/>
          <w:p>
            <w:pPr>
              <w:pStyle w:val="Compact"/>
            </w:pPr>
            <w:r>
              <w:t xml:space="preserve">Merencanakan, menyiapkan, bertransaksi, mengelola kontrak sepanjang masanya</w:t>
            </w:r>
          </w:p>
        </w:tc>
        <w:tc>
          <w:tcPr/>
          <w:p>
            <w:pPr>
              <w:pStyle w:val="Compact"/>
            </w:pPr>
            <w:r>
              <w:t xml:space="preserve">Nasional/daerah</w:t>
            </w:r>
          </w:p>
        </w:tc>
      </w:tr>
      <w:tr>
        <w:tc>
          <w:tcPr/>
          <w:p>
            <w:pPr>
              <w:pStyle w:val="Compact"/>
            </w:pPr>
            <w:r>
              <w:t xml:space="preserve">Simpul KPBU</w:t>
            </w:r>
          </w:p>
        </w:tc>
        <w:tc>
          <w:tcPr/>
          <w:p>
            <w:pPr>
              <w:pStyle w:val="Compact"/>
            </w:pPr>
            <w:r>
              <w:t xml:space="preserve">Unit kerja internal PJPK: kebijakan, sinkronisasi, koordinasi perencanaan dan penyiapan</w:t>
            </w:r>
          </w:p>
        </w:tc>
        <w:tc>
          <w:tcPr/>
          <w:p>
            <w:pPr>
              <w:pStyle w:val="Compact"/>
            </w:pPr>
            <w:r>
              <w:t xml:space="preserve">Internal PJPK</w:t>
            </w:r>
          </w:p>
        </w:tc>
      </w:tr>
      <w:tr>
        <w:tc>
          <w:tcPr/>
          <w:p>
            <w:pPr>
              <w:pStyle w:val="Compact"/>
            </w:pPr>
            <w:r>
              <w:t xml:space="preserve">Kantor Bersama KPBU</w:t>
            </w:r>
          </w:p>
        </w:tc>
        <w:tc>
          <w:tcPr/>
          <w:p>
            <w:pPr>
              <w:pStyle w:val="Compact"/>
            </w:pPr>
            <w:r>
              <w:t xml:space="preserve">Forum koordinasi tujuh K/L, sekretariat di Bappenas, dibentuk 18 September 2020</w:t>
            </w:r>
          </w:p>
        </w:tc>
        <w:tc>
          <w:tcPr/>
          <w:p>
            <w:pPr>
              <w:pStyle w:val="Compact"/>
            </w:pPr>
            <w:r>
              <w:t xml:space="preserve">Nasional</w:t>
            </w:r>
          </w:p>
        </w:tc>
      </w:tr>
      <w:tr>
        <w:tc>
          <w:tcPr/>
          <w:p>
            <w:pPr>
              <w:pStyle w:val="Compact"/>
            </w:pPr>
            <w:r>
              <w:t xml:space="preserve">Badan Usaha Pelaksana</w:t>
            </w:r>
          </w:p>
        </w:tc>
        <w:tc>
          <w:tcPr/>
          <w:p>
            <w:pPr>
              <w:pStyle w:val="Compact"/>
            </w:pPr>
            <w:r>
              <w:t xml:space="preserve">Mendesain, membangun, mendanai, mengoperasikan, merawat infrastruktur</w:t>
            </w:r>
          </w:p>
        </w:tc>
        <w:tc>
          <w:tcPr/>
          <w:p>
            <w:pPr>
              <w:pStyle w:val="Compact"/>
            </w:pPr>
            <w:r>
              <w:t xml:space="preserve">Proyek</w:t>
            </w:r>
          </w:p>
        </w:tc>
      </w:tr>
      <w:tr>
        <w:tc>
          <w:tcPr/>
          <w:p>
            <w:pPr>
              <w:pStyle w:val="Compact"/>
            </w:pPr>
            <w:r>
              <w:t xml:space="preserve">Pemberi penjaminan (antara lain PT PII)</w:t>
            </w:r>
          </w:p>
        </w:tc>
        <w:tc>
          <w:tcPr/>
          <w:p>
            <w:pPr>
              <w:pStyle w:val="Compact"/>
            </w:pPr>
            <w:r>
              <w:t xml:space="preserve">Menjamin kewajiban finansial pemerintah agar proyek</w:t>
            </w:r>
            <w:r>
              <w:t xml:space="preserve"> </w:t>
            </w:r>
            <w:r>
              <w:rPr>
                <w:i/>
                <w:iCs/>
              </w:rPr>
              <w:t xml:space="preserve">bankable</w:t>
            </w:r>
          </w:p>
        </w:tc>
        <w:tc>
          <w:tcPr/>
          <w:p>
            <w:pPr>
              <w:pStyle w:val="Compact"/>
            </w:pPr>
            <w:r>
              <w:t xml:space="preserve">Nasional</w:t>
            </w:r>
          </w:p>
        </w:tc>
      </w:tr>
      <w:tr>
        <w:tc>
          <w:tcPr/>
          <w:p>
            <w:pPr>
              <w:pStyle w:val="Compact"/>
            </w:pPr>
            <w:r>
              <w:t xml:space="preserve">Fasilitas Penyiapan Proyek</w:t>
            </w:r>
          </w:p>
        </w:tc>
        <w:tc>
          <w:tcPr/>
          <w:p>
            <w:pPr>
              <w:pStyle w:val="Compact"/>
            </w:pPr>
            <w:r>
              <w:t xml:space="preserve">Mendanai dan mendampingi penyusunan Pra-Studi Kelayakan</w:t>
            </w:r>
          </w:p>
        </w:tc>
        <w:tc>
          <w:tcPr/>
          <w:p>
            <w:pPr>
              <w:pStyle w:val="Compact"/>
            </w:pPr>
            <w:r>
              <w:t xml:space="preserve">Tahap penyiapan</w:t>
            </w:r>
          </w:p>
        </w:tc>
      </w:tr>
    </w:tbl>
    <w:p>
      <w:pPr>
        <w:pStyle w:val="BodyText"/>
      </w:pPr>
      <w:r>
        <w:t xml:space="preserve">Definisi PJPK berpijak pada</w:t>
      </w:r>
      <w:r>
        <w:t xml:space="preserve"> </w:t>
      </w:r>
      <w:hyperlink r:id="rId22">
        <w:r>
          <w:rPr>
            <w:rStyle w:val="Hyperlink"/>
          </w:rPr>
          <w:t xml:space="preserve">Peraturan Presiden No. 38 Tahun 2015</w:t>
        </w:r>
      </w:hyperlink>
      <w:r>
        <w:t xml:space="preserve"> </w:t>
      </w:r>
      <w:r>
        <w:t xml:space="preserve">yang ditetapkan 20 Maret 2015 dan berstatus berlaku menurut data JDIH per Agustus 2026. Basis operasional Simpul KPBU lebih sering diperbarui: Permen PPN/Bappenas No. 7 Tahun 2023 diubah sebagian oleh Permen No. 9 Tahun 2025, efektif 30 Desember 2025.</w:t>
      </w:r>
    </w:p>
    <w:bookmarkEnd w:id="23"/>
    <w:bookmarkStart w:id="25" w:name="Xfb31d7db7c6df479f143cecd0bd382eac5104de"/>
    <w:p>
      <w:pPr>
        <w:pStyle w:val="Heading2"/>
      </w:pPr>
      <w:r>
        <w:t xml:space="preserve">Empat kompetensi yang membuat sebuah instansi benar-benar siap</w:t>
      </w:r>
    </w:p>
    <w:p>
      <w:pPr>
        <w:pStyle w:val="FirstParagraph"/>
      </w:pPr>
      <w:r>
        <w:t xml:space="preserve">Kesiapan instansi tidak diukur dari jumlah pegawai yang pernah ikut pelatihan, melainkan dari empat kemampuan yang melekat pada unit kerja: membedakan kelayakan ekonomi dari kelayakan finansial, membaca alokasi risiko, memproyeksikan konsekuensi fiskal jangka panjang, dan mengelola kontrak yang melintasi pergantian kepemimpinan.</w:t>
      </w:r>
    </w:p>
    <w:p>
      <w:pPr>
        <w:pStyle w:val="Compact"/>
        <w:numPr>
          <w:ilvl w:val="0"/>
          <w:numId w:val="1001"/>
        </w:numPr>
      </w:pPr>
      <w:r>
        <w:rPr>
          <w:b/>
          <w:bCs/>
        </w:rPr>
        <w:t xml:space="preserve">Membedakan kelayakan ekonomi dari kelayakan finansial.</w:t>
      </w:r>
      <w:r>
        <w:t xml:space="preserve"> </w:t>
      </w:r>
      <w:r>
        <w:t xml:space="preserve">Kelayakan ekonomi mengukur manfaat bagi masyarakat; kelayakan finansial mengukur kemampuan arus kas menutup biaya badan usaha. Proyek yang layak ekonomi tetapi belum layak finansial justru sasaran Dukungan Kelayakan (</w:t>
      </w:r>
      <w:r>
        <w:rPr>
          <w:i/>
          <w:iCs/>
        </w:rPr>
        <w:t xml:space="preserve">Viability Gap Fund</w:t>
      </w:r>
      <w:r>
        <w:t xml:space="preserve">).</w:t>
      </w:r>
    </w:p>
    <w:p>
      <w:pPr>
        <w:pStyle w:val="Compact"/>
        <w:numPr>
          <w:ilvl w:val="0"/>
          <w:numId w:val="1001"/>
        </w:numPr>
      </w:pPr>
      <w:r>
        <w:rPr>
          <w:b/>
          <w:bCs/>
        </w:rPr>
        <w:t xml:space="preserve">Membaca alokasi risiko.</w:t>
      </w:r>
      <w:r>
        <w:t xml:space="preserve"> </w:t>
      </w:r>
      <w:r>
        <w:t xml:space="preserve">Prinsipnya mudah diucapkan, sulit dipraktikkan: setiap risiko dipikul pihak yang paling mampu mengelolanya. Tim yang belum menguasainya cenderung melempar semua risiko ke badan usaha, dan harga penawaran ikut melonjak.</w:t>
      </w:r>
    </w:p>
    <w:p>
      <w:pPr>
        <w:pStyle w:val="Compact"/>
        <w:numPr>
          <w:ilvl w:val="0"/>
          <w:numId w:val="1001"/>
        </w:numPr>
      </w:pPr>
      <w:r>
        <w:rPr>
          <w:b/>
          <w:bCs/>
        </w:rPr>
        <w:t xml:space="preserve">Memproyeksikan konsekuensi fiskal jangka panjang.</w:t>
      </w:r>
      <w:r>
        <w:t xml:space="preserve"> </w:t>
      </w:r>
      <w:r>
        <w:t xml:space="preserve">Availability Payment tetap keluar dari APBD tiap tahun sampai kontrak berakhir, sehingga harus muat dalam proyeksi kemampuan fiskal daerah, bukan sekadar anggaran tahun berjalan.</w:t>
      </w:r>
    </w:p>
    <w:p>
      <w:pPr>
        <w:pStyle w:val="Compact"/>
        <w:numPr>
          <w:ilvl w:val="0"/>
          <w:numId w:val="1001"/>
        </w:numPr>
      </w:pPr>
      <w:r>
        <w:rPr>
          <w:b/>
          <w:bCs/>
        </w:rPr>
        <w:t xml:space="preserve">Mengelola kontrak lintas periode kepemimpinan.</w:t>
      </w:r>
      <w:r>
        <w:t xml:space="preserve"> </w:t>
      </w:r>
      <w:r>
        <w:t xml:space="preserve">Perjanjian KPBU umumnya berjalan 20–30 tahun (rentang lazim per portal KPBU Kemenkeu, 2026), melampaui satu masa jabatan kepala daerah. Dokumentasi kelembagaan dan kaderisasi menentukan apakah proyek bertahan setelah pimpinan berganti.</w:t>
      </w:r>
    </w:p>
    <w:p>
      <w:pPr>
        <w:pStyle w:val="FirstParagraph"/>
      </w:pPr>
      <w:r>
        <w:t xml:space="preserve">Pola ini berulang di banyak daerah: kegiatan</w:t>
      </w:r>
      <w:r>
        <w:t xml:space="preserve"> </w:t>
      </w:r>
      <w:r>
        <w:rPr>
          <w:i/>
          <w:iCs/>
        </w:rPr>
        <w:t xml:space="preserve">capacity building</w:t>
      </w:r>
      <w:r>
        <w:t xml:space="preserve"> </w:t>
      </w:r>
      <w:r>
        <w:t xml:space="preserve">KPBU untuk penerangan jalan umum di Bali pada 4–5 September 2022 diikuti 10 kabupaten/kota, dan lanjutannya di Malang pada 13 Maret 2023 diikuti 16 pemerintah daerah (portal KPBU Kementerian Keuangan). Sebagian tim lalu memformalkan pemahamannya lewat</w:t>
      </w:r>
      <w:r>
        <w:t xml:space="preserve"> </w:t>
      </w:r>
      <w:hyperlink r:id="rId24">
        <w:r>
          <w:rPr>
            <w:rStyle w:val="Hyperlink"/>
          </w:rPr>
          <w:t xml:space="preserve">pelatihan sertifikasi KPBU</w:t>
        </w:r>
      </w:hyperlink>
      <w:r>
        <w:t xml:space="preserve"> </w:t>
      </w:r>
      <w:r>
        <w:t xml:space="preserve">yang mengacu pada kerangka PPP internasional.</w:t>
      </w:r>
    </w:p>
    <w:bookmarkEnd w:id="25"/>
    <w:bookmarkStart w:id="26" w:name="Xef8900c8f75bf1c95c8aadc5e41fca34a294fb4"/>
    <w:p>
      <w:pPr>
        <w:pStyle w:val="Heading2"/>
      </w:pPr>
      <w:r>
        <w:t xml:space="preserve">Tiga salah kaprah tentang pembiayaan kreatif yang masih sering terdengar</w:t>
      </w:r>
    </w:p>
    <w:p>
      <w:pPr>
        <w:pStyle w:val="FirstParagraph"/>
      </w:pPr>
      <w:r>
        <w:t xml:space="preserve">Tiga kekeliruan berulang di ruang rapat daerah: pembiayaan kreatif disamakan dengan berutang, KPBU dianggap memindahkan seluruh risiko ke badan usaha, dan penandatanganan kontrak dianggap garis akhir tugas pemerintah. Ketiganya terdengar masuk akal, tetapi ketiganya menyesatkan arah penyiapan proyek sejak dokumen pertama disusun.</w:t>
      </w:r>
    </w:p>
    <w:p>
      <w:pPr>
        <w:pStyle w:val="Compact"/>
        <w:numPr>
          <w:ilvl w:val="0"/>
          <w:numId w:val="1002"/>
        </w:numPr>
      </w:pPr>
      <w:r>
        <w:rPr>
          <w:b/>
          <w:bCs/>
        </w:rPr>
        <w:t xml:space="preserve">“Pembiayaan kreatif berarti berutang.”</w:t>
      </w:r>
      <w:r>
        <w:t xml:space="preserve"> </w:t>
      </w:r>
      <w:r>
        <w:t xml:space="preserve">Hanya satu dari empat kelompok instrumen yang menambah kewajiban utang pemda. KPBU pada dasarnya kerja sama berbagi risiko, bukan utang pemerintah, dan seluruh instrumennya tetap tunduk pada UU HKPD.</w:t>
      </w:r>
    </w:p>
    <w:p>
      <w:pPr>
        <w:pStyle w:val="Compact"/>
        <w:numPr>
          <w:ilvl w:val="0"/>
          <w:numId w:val="1002"/>
        </w:numPr>
      </w:pPr>
      <w:r>
        <w:rPr>
          <w:b/>
          <w:bCs/>
        </w:rPr>
        <w:t xml:space="preserve">“Risikonya pindah semua ke badan usaha.”</w:t>
      </w:r>
      <w:r>
        <w:t xml:space="preserve"> </w:t>
      </w:r>
      <w:r>
        <w:t xml:space="preserve">Risiko dibagi, tidak dilimpahkan. Availability Payment tetap dibayar dari APBN atau APBD. KPBU juga bukan privatisasi aset: aset kembali ke pemerintah pada akhir masa kerja sama.</w:t>
      </w:r>
    </w:p>
    <w:p>
      <w:pPr>
        <w:pStyle w:val="Compact"/>
        <w:numPr>
          <w:ilvl w:val="0"/>
          <w:numId w:val="1002"/>
        </w:numPr>
      </w:pPr>
      <w:r>
        <w:rPr>
          <w:b/>
          <w:bCs/>
        </w:rPr>
        <w:t xml:space="preserve">“Begitu kontrak diteken, tugas pemerintah selesai.”</w:t>
      </w:r>
      <w:r>
        <w:t xml:space="preserve"> </w:t>
      </w:r>
      <w:r>
        <w:t xml:space="preserve">PJPK bertanggung jawab hingga akhir Perjanjian KPBU, termasuk memverifikasi kinerja layanan sebelum membayar. Kenyataannya banyak proyek KPBU daerah tersendat lebih awal, di tahap penyiapan, karena kapasitas fiskal PJPK terbatas dan kelayakan finansial marginal (portal KPBU Kementerian Keuangan, 2026).</w:t>
      </w:r>
    </w:p>
    <w:bookmarkEnd w:id="26"/>
    <w:bookmarkStart w:id="33" w:name="faq-pertanyaan-yang-sering-diajukan"/>
    <w:p>
      <w:pPr>
        <w:pStyle w:val="Heading2"/>
      </w:pPr>
      <w:r>
        <w:t xml:space="preserve">FAQ (Pertanyaan yang Sering Diajukan)</w:t>
      </w:r>
    </w:p>
    <w:bookmarkStart w:id="27" w:name="X672de5860fef554ac52cbece4d89f02f8286bb6"/>
    <w:p>
      <w:pPr>
        <w:pStyle w:val="Heading3"/>
      </w:pPr>
      <w:r>
        <w:t xml:space="preserve">Apa kepanjangan PJPK dan siapa yang bisa menjadi PJPK?</w:t>
      </w:r>
    </w:p>
    <w:p>
      <w:pPr>
        <w:pStyle w:val="FirstParagraph"/>
      </w:pPr>
      <w:r>
        <w:t xml:space="preserve">PJPK adalah Penanggung Jawab Proyek Kerja Sama. Menurut Perpres No. 38 Tahun 2015, PJPK dapat berupa Menteri, Kepala Lembaga, Kepala Daerah, atau BUMN/BUMD sesuai kewenangannya. Ia bertindak selaku pemilik proyek dan tetap bertanggung jawab sepanjang Perjanjian KPBU, yang umumnya berdurasi 20–30 tahun (rujukan 2026).</w:t>
      </w:r>
    </w:p>
    <w:bookmarkEnd w:id="27"/>
    <w:bookmarkStart w:id="28" w:name="X3b37c649021b5691dfb7805e6fd86e67382d0ff"/>
    <w:p>
      <w:pPr>
        <w:pStyle w:val="Heading3"/>
      </w:pPr>
      <w:r>
        <w:t xml:space="preserve">Apakah pembiayaan kreatif sama dengan pinjaman daerah?</w:t>
      </w:r>
    </w:p>
    <w:p>
      <w:pPr>
        <w:pStyle w:val="FirstParagraph"/>
      </w:pPr>
      <w:r>
        <w:t xml:space="preserve">Tidak. Pinjaman daerah hanya satu instrumen di dalam payung pembiayaan kreatif, bersama obligasi daerah, sukuk daerah, KPBU, dan sinergi pendanaan APBD-non-APBD (kerangka UU HKPD, UU No. 1 Tahun 2022). Pinjaman menambah kewajiban utang pemda; KPBU adalah kerja sama berbagi risiko jangka panjang.</w:t>
      </w:r>
    </w:p>
    <w:bookmarkEnd w:id="28"/>
    <w:bookmarkStart w:id="29" w:name="X86b18aae9f4e985a8942e7afbdb0bf7e32c1545"/>
    <w:p>
      <w:pPr>
        <w:pStyle w:val="Heading3"/>
      </w:pPr>
      <w:r>
        <w:t xml:space="preserve">Siapa yang membiayai proyek pada skema KPBU?</w:t>
      </w:r>
    </w:p>
    <w:p>
      <w:pPr>
        <w:pStyle w:val="FirstParagraph"/>
      </w:pPr>
      <w:r>
        <w:t xml:space="preserve">Badan usaha pelaksana menanggung sebagian besar investasi awal lewat ekuitas dan utang swasta, lalu membangun, mengoperasikan, dan merawat infrastrukturnya. Pemerintah melalui PJPK mengembalikannya lewat tarif pengguna, Pembayaran Ketersediaan Layanan, atau kombinasi keduanya. Untuk proyek yang layak ekonomi tetapi belum layak finansial, tersedia Dukungan Kelayakan.</w:t>
      </w:r>
    </w:p>
    <w:bookmarkEnd w:id="29"/>
    <w:bookmarkStart w:id="30" w:name="Xb1523ff1ab0fa78b7212d57767fabf860a63cc5"/>
    <w:p>
      <w:pPr>
        <w:pStyle w:val="Heading3"/>
      </w:pPr>
      <w:r>
        <w:t xml:space="preserve">Apa itu Kantor Bersama KPBU dan apa perannya bagi pemda?</w:t>
      </w:r>
    </w:p>
    <w:p>
      <w:pPr>
        <w:pStyle w:val="FirstParagraph"/>
      </w:pPr>
      <w:r>
        <w:t xml:space="preserve">Kantor Bersama KPBU adalah forum koordinasi tujuh kementerian/lembaga: Kemenko Perekonomian, Kemenko Marves, Kemendagri, Kemenkeu, Kementerian PPN/Bappenas selaku sekretariat, Kementerian Investasi/BKPM, dan LKPP, dibentuk 18 September 2020 (komposisi per portal KPBU Kemenkeu, 2026). Bagi pemda, forum ini menjadi pintu masuk tunggal sehingga tim tidak perlu menebak instansi mana yang harus dihubungi lebih dulu.</w:t>
      </w:r>
    </w:p>
    <w:bookmarkEnd w:id="30"/>
    <w:bookmarkStart w:id="31" w:name="X6a9f9ebfc990b3df2ab46130f02f5cecd6283b0"/>
    <w:p>
      <w:pPr>
        <w:pStyle w:val="Heading3"/>
      </w:pPr>
      <w:r>
        <w:t xml:space="preserve">Mengapa penyediaan infrastruktur tidak sepenuhnya diserahkan kepada swasta?</w:t>
      </w:r>
    </w:p>
    <w:p>
      <w:pPr>
        <w:pStyle w:val="FirstParagraph"/>
      </w:pPr>
      <w:r>
        <w:t xml:space="preserve">Karena sebagian infrastruktur publik tidak menghasilkan pendapatan pengguna yang menutup biaya investasinya: jalan non-tol, penerangan jalan umum, rumah sakit, atau lapas. Jika sepenuhnya diserahkan ke pasar, wilayah dan layanan yang kurang menguntungkan berisiko terabaikan. Pemerintah tetap penanggung jawab akhir agar layanan terjangkau.</w:t>
      </w:r>
    </w:p>
    <w:bookmarkEnd w:id="31"/>
    <w:bookmarkStart w:id="32" w:name="X353a16d37b5951f8c52f199e7c45984b81240d9"/>
    <w:p>
      <w:pPr>
        <w:pStyle w:val="Heading3"/>
      </w:pPr>
      <w:r>
        <w:t xml:space="preserve">Dari mana pemda memulai jika belum punya pengalaman KPBU?</w:t>
      </w:r>
    </w:p>
    <w:p>
      <w:pPr>
        <w:pStyle w:val="FirstParagraph"/>
      </w:pPr>
      <w:r>
        <w:t xml:space="preserve">Titik mulai yang realistis adalah membentuk atau menunjuk Simpul KPBU, unit kerja internal yang mengoordinasikan perencanaan dan penyiapan sesuai Permen PPN/Bappenas No. 7 Tahun 2023 (diubah sebagian oleh Permen No. 9 Tahun 2025). Selanjutnya, berkonsultasilah dengan Kantor Bersama KPBU untuk memetakan proyek prioritas.</w:t>
      </w:r>
    </w:p>
    <w:bookmarkEnd w:id="32"/>
    <w:bookmarkEnd w:id="33"/>
    <w:bookmarkStart w:id="34" w:name="kesimpulan"/>
    <w:p>
      <w:pPr>
        <w:pStyle w:val="Heading2"/>
      </w:pPr>
      <w:r>
        <w:t xml:space="preserve">Kesimpulan</w:t>
      </w:r>
    </w:p>
    <w:p>
      <w:pPr>
        <w:pStyle w:val="FirstParagraph"/>
      </w:pPr>
      <w:r>
        <w:t xml:space="preserve">Kembali ke kepala bidang yang pulang membawa map materi tadi. Pembedanya bukan jumlah sesi yang pernah diikuti, melainkan apakah empat kompetensi di atas melekat pada unit kerja, bukan pada satu atau dua orang. Di situlah</w:t>
      </w:r>
      <w:r>
        <w:t xml:space="preserve"> </w:t>
      </w:r>
      <w:r>
        <w:rPr>
          <w:i/>
          <w:iCs/>
        </w:rPr>
        <w:t xml:space="preserve">capacity building</w:t>
      </w:r>
      <w:r>
        <w:t xml:space="preserve"> </w:t>
      </w:r>
      <w:r>
        <w:t xml:space="preserve">pembiayaan kreatif berhenti menjadi pos biaya pelatihan tahunan dan mulai menjadi investasi kelembagaan.</w:t>
      </w:r>
    </w:p>
    <w:p>
      <w:pPr>
        <w:pStyle w:val="BodyText"/>
      </w:pPr>
      <w:r>
        <w:t xml:space="preserve">IIGF Institute, unit manajemen pengetahuan dan</w:t>
      </w:r>
      <w:r>
        <w:t xml:space="preserve"> </w:t>
      </w:r>
      <w:r>
        <w:rPr>
          <w:i/>
          <w:iCs/>
        </w:rPr>
        <w:t xml:space="preserve">think-tank</w:t>
      </w:r>
      <w:r>
        <w:t xml:space="preserve"> </w:t>
      </w:r>
      <w:r>
        <w:t xml:space="preserve">PT Penjaminan Infrastruktur Indonesia (Persero), bekerja di titik itu: lewat pilar edukasi, riset, dan advokasi kebijakan, program PPP capacity building yang dijalankannya diarahkan pada penguatan kapasitas KPBU di pusat maupun daerah. Percakapan awal biasanya cukup dimulai dari satu pertanyaan: proyek mana yang paling siap dinaikkan ke tahap penyiapan?</w:t>
      </w:r>
    </w:p>
    <w:p>
      <w:pPr>
        <w:pStyle w:val="BodyText"/>
      </w:pPr>
      <w:r>
        <w:t xml:space="preserve">Gambaran program pengembangan kapasitas dan kajian KPBU lainnya dapat Anda 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0" Target="https://institute.iigf.co.id/e-library/lainnya/77/studi-kasus-kpbu-untuk-penguatan-infrastruktur-digital-dan-informasi" TargetMode="External" /><Relationship Type="http://schemas.openxmlformats.org/officeDocument/2006/relationships/hyperlink" Id="rId19" Target="https://kpbu.kemenkeu.go.id/" TargetMode="External" /><Relationship Type="http://schemas.openxmlformats.org/officeDocument/2006/relationships/hyperlink" Id="rId22" Target="https://peraturan.bpk.go.id/Details/41764/perpres-no-38-tahun-2015" TargetMode="External" /></Relationships>
</file>

<file path=word/_rels/footnotes.xml.rels><?xml version="1.0" encoding="UTF-8"?><Relationships xmlns="http://schemas.openxmlformats.org/package/2006/relationships"><Relationship Type="http://schemas.openxmlformats.org/officeDocument/2006/relationships/hyperlink" Id="rId24"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0" Target="https://institute.iigf.co.id/e-library/lainnya/77/studi-kasus-kpbu-untuk-penguatan-infrastruktur-digital-dan-informasi" TargetMode="External" /><Relationship Type="http://schemas.openxmlformats.org/officeDocument/2006/relationships/hyperlink" Id="rId19" Target="https://kpbu.kemenkeu.go.id/" TargetMode="External" /><Relationship Type="http://schemas.openxmlformats.org/officeDocument/2006/relationships/hyperlink" Id="rId22" Target="https://peraturan.bpk.go.id/Details/41764/perpres-no-38-tahun-20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2026-08-12T08:52:54Z</dcterms:created>
  <dcterms:modified xsi:type="dcterms:W3CDTF">2026-08-12T08:52:54Z</dcterms:modified>
</cp:coreProperties>
</file>

<file path=docProps/custom.xml><?xml version="1.0" encoding="utf-8"?>
<Properties xmlns="http://schemas.openxmlformats.org/officeDocument/2006/custom-properties" xmlns:vt="http://schemas.openxmlformats.org/officeDocument/2006/docPropsVTypes"/>
</file>