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"Capacity Building KPBU: Kompetensi Tim PJPK di Tiap Tahap"</w:t>
      </w:r>
      <w:r>
        <w:br/>
      </w:r>
      <w:r>
        <w:rPr>
          <w:rStyle w:val="FunctionTok"/>
        </w:rPr>
        <w:t xml:space="preserve">meta_title</w:t>
      </w:r>
      <w:r>
        <w:rPr>
          <w:rStyle w:val="KeywordTok"/>
        </w:rPr>
        <w:t xml:space="preserve">:</w:t>
      </w:r>
      <w:r>
        <w:rPr>
          <w:rStyle w:val="AttributeTok"/>
        </w:rPr>
        <w:t xml:space="preserve"> </w:t>
      </w:r>
      <w:r>
        <w:rPr>
          <w:rStyle w:val="StringTok"/>
        </w:rPr>
        <w:t xml:space="preserve">"Capacity Building KPBU: Kompetensi Tim PJPK per Tahap"</w:t>
      </w:r>
      <w:r>
        <w:br/>
      </w:r>
      <w:r>
        <w:rPr>
          <w:rStyle w:val="FunctionTok"/>
        </w:rPr>
        <w:t xml:space="preserve">meta_description</w:t>
      </w:r>
      <w:r>
        <w:rPr>
          <w:rStyle w:val="KeywordTok"/>
        </w:rPr>
        <w:t xml:space="preserve">:</w:t>
      </w:r>
      <w:r>
        <w:rPr>
          <w:rStyle w:val="AttributeTok"/>
        </w:rPr>
        <w:t xml:space="preserve"> </w:t>
      </w:r>
      <w:r>
        <w:rPr>
          <w:rStyle w:val="StringTok"/>
        </w:rPr>
        <w:t xml:space="preserve">"Capacity building pembiayaan kreatif KPBU: peta kompetensi tim PJPK di empat tahap siklus proyek, tiga jalur membangunnya, dan batas alih daya konsultan."</w:t>
      </w:r>
      <w:r>
        <w:br/>
      </w:r>
      <w:r>
        <w:rPr>
          <w:rStyle w:val="FunctionTok"/>
        </w:rPr>
        <w:t xml:space="preserve">slug</w:t>
      </w:r>
      <w:r>
        <w:rPr>
          <w:rStyle w:val="KeywordTok"/>
        </w:rPr>
        <w:t xml:space="preserve">:</w:t>
      </w:r>
      <w:r>
        <w:rPr>
          <w:rStyle w:val="AttributeTok"/>
        </w:rPr>
        <w:t xml:space="preserve"> </w:t>
      </w:r>
      <w:r>
        <w:rPr>
          <w:rStyle w:val="StringTok"/>
        </w:rPr>
        <w:t xml:space="preserve">"capacity-building-kpbu-kompetensi-tim-pjpk"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"capacity building KPBU"</w:t>
      </w:r>
      <w:r>
        <w:rPr>
          <w:rStyle w:val="KeywordTok"/>
        </w:rPr>
        <w:t xml:space="preserve">,</w:t>
      </w:r>
      <w:r>
        <w:rPr>
          <w:rStyle w:val="AttributeTok"/>
        </w:rPr>
        <w:t xml:space="preserve"> </w:t>
      </w:r>
      <w:r>
        <w:rPr>
          <w:rStyle w:val="StringTok"/>
        </w:rPr>
        <w:t xml:space="preserve">"kompetensi tim PJPK"</w:t>
      </w:r>
      <w:r>
        <w:rPr>
          <w:rStyle w:val="KeywordTok"/>
        </w:rPr>
        <w:t xml:space="preserve">,</w:t>
      </w:r>
      <w:r>
        <w:rPr>
          <w:rStyle w:val="AttributeTok"/>
        </w:rPr>
        <w:t xml:space="preserve"> </w:t>
      </w:r>
      <w:r>
        <w:rPr>
          <w:rStyle w:val="StringTok"/>
        </w:rPr>
        <w:t xml:space="preserve">"Simpul KPBU"</w:t>
      </w:r>
      <w:r>
        <w:rPr>
          <w:rStyle w:val="KeywordTok"/>
        </w:rPr>
        <w:t xml:space="preserve">,</w:t>
      </w:r>
      <w:r>
        <w:rPr>
          <w:rStyle w:val="AttributeTok"/>
        </w:rPr>
        <w:t xml:space="preserve"> </w:t>
      </w:r>
      <w:r>
        <w:rPr>
          <w:rStyle w:val="StringTok"/>
        </w:rPr>
        <w:t xml:space="preserve">"tahapan proyek KPBU"</w:t>
      </w:r>
      <w:r>
        <w:rPr>
          <w:rStyle w:val="KeywordTok"/>
        </w:rPr>
        <w:t xml:space="preserve">,</w:t>
      </w:r>
      <w:r>
        <w:rPr>
          <w:rStyle w:val="AttributeTok"/>
        </w:rPr>
        <w:t xml:space="preserve"> </w:t>
      </w:r>
      <w:r>
        <w:rPr>
          <w:rStyle w:val="StringTok"/>
        </w:rPr>
        <w:t xml:space="preserve">"tahap penyiapan KPBU"</w:t>
      </w:r>
      <w:r>
        <w:rPr>
          <w:rStyle w:val="KeywordTok"/>
        </w:rPr>
        <w:t xml:space="preserve">,</w:t>
      </w:r>
      <w:r>
        <w:rPr>
          <w:rStyle w:val="AttributeTok"/>
        </w:rPr>
        <w:t xml:space="preserve"> </w:t>
      </w:r>
      <w:r>
        <w:rPr>
          <w:rStyle w:val="StringTok"/>
        </w:rPr>
        <w:t xml:space="preserve">"studi pendahuluan KPBU"</w:t>
      </w:r>
      <w:r>
        <w:rPr>
          <w:rStyle w:val="KeywordTok"/>
        </w:rPr>
        <w:t xml:space="preserve">,</w:t>
      </w:r>
      <w:r>
        <w:rPr>
          <w:rStyle w:val="AttributeTok"/>
        </w:rPr>
        <w:t xml:space="preserve"> </w:t>
      </w:r>
      <w:r>
        <w:rPr>
          <w:rStyle w:val="StringTok"/>
        </w:rPr>
        <w:t xml:space="preserve">"pra-studi kelayakan"</w:t>
      </w:r>
      <w:r>
        <w:rPr>
          <w:rStyle w:val="KeywordTok"/>
        </w:rPr>
        <w:t xml:space="preserve">,</w:t>
      </w:r>
      <w:r>
        <w:rPr>
          <w:rStyle w:val="AttributeTok"/>
        </w:rPr>
        <w:t xml:space="preserve"> </w:t>
      </w:r>
      <w:r>
        <w:rPr>
          <w:rStyle w:val="StringTok"/>
        </w:rPr>
        <w:t xml:space="preserve">"manajemen kontrak KPBU"</w:t>
      </w:r>
      <w:r>
        <w:rPr>
          <w:rStyle w:val="KeywordTok"/>
        </w:rPr>
        <w:t xml:space="preserve">,</w:t>
      </w:r>
      <w:r>
        <w:rPr>
          <w:rStyle w:val="AttributeTok"/>
        </w:rPr>
        <w:t xml:space="preserve"> </w:t>
      </w:r>
      <w:r>
        <w:rPr>
          <w:rStyle w:val="StringTok"/>
        </w:rPr>
        <w:t xml:space="preserve">"Permen PPN 7/2023"</w:t>
      </w:r>
      <w:r>
        <w:rPr>
          <w:rStyle w:val="KeywordTok"/>
        </w:rPr>
        <w:t xml:space="preserve">,</w:t>
      </w:r>
      <w:r>
        <w:rPr>
          <w:rStyle w:val="AttributeTok"/>
        </w:rPr>
        <w:t xml:space="preserve"> </w:t>
      </w:r>
      <w:r>
        <w:rPr>
          <w:rStyle w:val="StringTok"/>
        </w:rPr>
        <w:t xml:space="preserve">"Fasilitas Penyiapan Proyek"</w:t>
      </w:r>
      <w:r>
        <w:rPr>
          <w:rStyle w:val="KeywordTok"/>
        </w:rPr>
        <w:t xml:space="preserve">,</w:t>
      </w:r>
      <w:r>
        <w:rPr>
          <w:rStyle w:val="AttributeTok"/>
        </w:rPr>
        <w:t xml:space="preserve"> </w:t>
      </w:r>
      <w:r>
        <w:rPr>
          <w:rStyle w:val="StringTok"/>
        </w:rPr>
        <w:t xml:space="preserve">"alokasi risiko KPBU"</w:t>
      </w:r>
      <w:r>
        <w:rPr>
          <w:rStyle w:val="KeywordTok"/>
        </w:rPr>
        <w:t xml:space="preserve">,</w:t>
      </w:r>
      <w:r>
        <w:rPr>
          <w:rStyle w:val="AttributeTok"/>
        </w:rPr>
        <w:t xml:space="preserve"> </w:t>
      </w:r>
      <w:r>
        <w:rPr>
          <w:rStyle w:val="StringTok"/>
        </w:rPr>
        <w:t xml:space="preserve">"peningkatan kapasitas aparatur daerah"</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"https://kpbu.kemenkeu.go.id/read/1094-1255/pjpk/dukungan-pemerintah/fasilitas-penyiapan-proyek"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tahap berlaku, dan mekanisme pengajuan Fasilitas Penyiapan Proyek (PDF) Kementerian Keuangan"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"https://ppp-certification.com/certification"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"Tiga level sertifikasi CP3P, format ujian Foundation, dan jalur belajar mandiri yang dibuka APMG International"</w:t>
      </w:r>
      <w:r>
        <w:br/>
      </w:r>
      <w:r>
        <w:rPr>
          <w:rStyle w:val="FunctionTok"/>
        </w:rPr>
        <w:t xml:space="preserve">brief_id</w:t>
      </w:r>
      <w:r>
        <w:rPr>
          <w:rStyle w:val="KeywordTok"/>
        </w:rPr>
        <w:t xml:space="preserve">:</w:t>
      </w:r>
      <w:r>
        <w:rPr>
          <w:rStyle w:val="AttributeTok"/>
        </w:rPr>
        <w:t xml:space="preserve"> </w:t>
      </w:r>
      <w:r>
        <w:rPr>
          <w:rStyle w:val="StringTok"/>
        </w:rPr>
        <w:t xml:space="preserve">"capacity-building-pembiayaan-kreatif-03"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1566</w:t>
      </w:r>
    </w:p>
    <w:p>
      <w:r>
        <w:pict>
          <v:rect style="width:0;height:1.5pt" o:hralign="center" o:hrstd="t" o:hr="t"/>
        </w:pict>
      </w:r>
    </w:p>
    <w:bookmarkEnd w:id="16"/>
    <w:bookmarkStart w:id="35" w:name="X0e44e9a360e819036d4e291dacc77129555fba2"/>
    <w:p>
      <w:pPr>
        <w:pStyle w:val="Heading1"/>
      </w:pPr>
      <w:r>
        <w:t xml:space="preserve">Capacity Building KPBU: Kompetensi Tim PJPK di Tiap Tahap</w:t>
      </w:r>
    </w:p>
    <w:p>
      <w:pPr>
        <w:pStyle w:val="FirstParagraph"/>
      </w:pPr>
      <w:r>
        <w:t xml:space="preserve">Tim penyiapan proyek di banyak instansi dibentuk dengan komposisi yang keliru sejak hari pertama: ahli teknis berlimpah di tahap perencanaan, tetapi tidak ada yang sanggup menguji asumsi model finansial saat konsultan menyerahkan draf pra-studi kelayakan, dan tidak ada yang bersiap mengelola kontrak dua dekade ke depan. Akar masalahnya jarang berupa kurangnya pelatihan. Yang kurang adalah kompetensi yang dibangun mengikuti urutan pekerjaan. Karena itu program</w:t>
      </w:r>
      <w:r>
        <w:t xml:space="preserve"> </w:t>
      </w:r>
      <w:hyperlink r:id="rId17">
        <w:r>
          <w:rPr>
            <w:rStyle w:val="Hyperlink"/>
          </w:rPr>
          <w:t xml:space="preserve">capacity building pembiayaan kreatif</w:t>
        </w:r>
      </w:hyperlink>
      <w:r>
        <w:t xml:space="preserve"> </w:t>
      </w:r>
      <w:r>
        <w:t xml:space="preserve">paling berguna ketika dirancang bertahap, mengikuti siklus proyek. Artikel ini memetakan kompetensi tim Penanggung Jawab Proyek Kerja Sama (PJPK) di tiap tahap, tiga jalur membangunnya, dan mana yang tidak boleh dialihdayakan.</w:t>
      </w:r>
    </w:p>
    <w:p>
      <w:pPr>
        <w:pStyle w:val="BlockText"/>
      </w:pPr>
      <w:r>
        <w:rPr>
          <w:b/>
          <w:bCs/>
        </w:rPr>
        <w:t xml:space="preserve">Ringkasnya:</w:t>
      </w:r>
      <w:r>
        <w:t xml:space="preserve"> </w:t>
      </w:r>
      <w:r>
        <w:rPr>
          <w:i/>
          <w:iCs/>
        </w:rPr>
        <w:t xml:space="preserve">Capacity building</w:t>
      </w:r>
      <w:r>
        <w:t xml:space="preserve"> </w:t>
      </w:r>
      <w:r>
        <w:t xml:space="preserve">KPBU adalah upaya sistematis memperkuat kemampuan pemangku kepentingan agar mampu menyiapkan dan mengelola proyek Kerja Sama Pemerintah dengan Badan Usaha (KPBU) secara mandiri, mencakup kapasitas individu (keterampilan personel), kapasitas kelembagaan (struktur dan kewenangan unit kerja seperti Simpul KPBU), dan kapasitas prosedural (kejelasan proses di tiap tahap siklus proyek), bukan sekadar mengikuti satu kali pelatihan.</w:t>
      </w:r>
    </w:p>
    <w:bookmarkStart w:id="18" w:name="X0bdb9e9f7a5923ef326ac47fdc2db61700223ef"/>
    <w:p>
      <w:pPr>
        <w:pStyle w:val="Heading2"/>
      </w:pPr>
      <w:r>
        <w:t xml:space="preserve">Apa yang sebenarnya dibangun dalam capacity building KPBU?</w:t>
      </w:r>
    </w:p>
    <w:p>
      <w:pPr>
        <w:pStyle w:val="FirstParagraph"/>
      </w:pPr>
      <w:r>
        <w:t xml:space="preserve">Yang dibangun bukan satu hal, melainkan tiga lapis yang saling menopang: kapasitas individu (orang bisa mengerjakan), kapasitas kelembagaan (organisasi tetap bisa meski orangnya pindah), dan kapasitas prosedural (proses di tiap tahap jelas dan terdokumentasi). Pelatihan hanya menyentuh lapis pertama. Dua lapis lainnya menuntut penataan unit kerja dan disiplin dokumentasi.</w:t>
      </w:r>
    </w:p>
    <w:p>
      <w:pPr>
        <w:pStyle w:val="BodyText"/>
      </w:pPr>
      <w:r>
        <w:t xml:space="preserve">Pola yang sering ditemui: satu instansi mengirim tiga staf ke pelatihan KPBU, lalu dua di antaranya dirotasi dalam setahun. Pengetahuannya ikut pindah karena tidak pernah dilekatkan pada prosedur atau arsip proyek.</w:t>
      </w:r>
    </w:p>
    <w:p>
      <w:pPr>
        <w:pStyle w:val="BodyText"/>
      </w:pPr>
      <w:r>
        <w:t xml:space="preserve">Lembaga pembangunan internasional menempatkan soal ini di depan. Program penguatan kelembagaan PPP yang dijalankan World Bank bersama PPIAF sejak 2018 tercatat memperkuat kapasitas lebih dari 380 pejabat pemerintah di lebih dari 70 institusi, lewat 50 aktivitas lebih di 39 negara, sekaligus mendorong adopsi lebih dari 15 undang-undang atau pedoman PPP (World Bank, 2023). Keluaran terakhir itulah yang paling bertahan setelah pelatihannya usai.</w:t>
      </w:r>
    </w:p>
    <w:bookmarkEnd w:id="18"/>
    <w:bookmarkStart w:id="20" w:name="Xc94d47a45e655067676e6e555e8e6d49b808edf"/>
    <w:p>
      <w:pPr>
        <w:pStyle w:val="Heading2"/>
      </w:pPr>
      <w:r>
        <w:t xml:space="preserve">Peta kompetensi berdasarkan tahap siklus proyek KPBU</w:t>
      </w:r>
    </w:p>
    <w:p>
      <w:pPr>
        <w:pStyle w:val="FirstParagraph"/>
      </w:pPr>
      <w:r>
        <w:t xml:space="preserve">Siklus proyek KPBU resmi terdiri atas empat tahap: perencanaan, penyiapan, transaksi, dan manajemen kontrak (kpbu.kemenkeu.go.id, 2026). Kerangka pelaksanaannya diatur dalam Peraturan Menteri PPN/Bappenas No. 7 Tahun 2023. Tiap tahap menghasilkan dokumen berbeda dan menuntut kompetensi berbeda, sehingga tim yang kuat di satu tahap belum tentu sanggup menangani tahap berikutnya.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Tahap</w:t>
            </w:r>
          </w:p>
        </w:tc>
        <w:tc>
          <w:tcPr/>
          <w:p>
            <w:pPr>
              <w:pStyle w:val="Compact"/>
            </w:pPr>
            <w:r>
              <w:t xml:space="preserve">Keluaran utama</w:t>
            </w:r>
          </w:p>
        </w:tc>
        <w:tc>
          <w:tcPr/>
          <w:p>
            <w:pPr>
              <w:pStyle w:val="Compact"/>
            </w:pPr>
            <w:r>
              <w:t xml:space="preserve">Kompetensi inti</w:t>
            </w:r>
          </w:p>
        </w:tc>
        <w:tc>
          <w:tcPr/>
          <w:p>
            <w:pPr>
              <w:pStyle w:val="Compact"/>
            </w:pPr>
            <w:r>
              <w:t xml:space="preserve">Risiko bila kompetensi ini kosong</w:t>
            </w:r>
          </w:p>
        </w:tc>
      </w:tr>
      <w:tr>
        <w:tc>
          <w:tcPr/>
          <w:p>
            <w:pPr>
              <w:pStyle w:val="Compact"/>
            </w:pPr>
            <w:r>
              <w:rPr>
                <w:b/>
                <w:bCs/>
              </w:rPr>
              <w:t xml:space="preserve">Perencanaan</w:t>
            </w:r>
          </w:p>
        </w:tc>
        <w:tc>
          <w:tcPr/>
          <w:p>
            <w:pPr>
              <w:pStyle w:val="Compact"/>
            </w:pPr>
            <w:r>
              <w:t xml:space="preserve">Dokumen Studi Pendahuluan</w:t>
            </w:r>
          </w:p>
        </w:tc>
        <w:tc>
          <w:tcPr/>
          <w:p>
            <w:pPr>
              <w:pStyle w:val="Compact"/>
            </w:pPr>
            <w:r>
              <w:t xml:space="preserve">Menilai apakah kebutuhan itu memang cocok dijawab skema KPBU, bukan belanja APBD/APBN reguler</w:t>
            </w:r>
          </w:p>
        </w:tc>
        <w:tc>
          <w:tcPr/>
          <w:p>
            <w:pPr>
              <w:pStyle w:val="Compact"/>
            </w:pPr>
            <w:r>
              <w:t xml:space="preserve">Proyek yang tidak cocok tetap dipaksakan masuk skema</w:t>
            </w:r>
          </w:p>
        </w:tc>
      </w:tr>
      <w:tr>
        <w:tc>
          <w:tcPr/>
          <w:p>
            <w:pPr>
              <w:pStyle w:val="Compact"/>
            </w:pPr>
            <w:r>
              <w:rPr>
                <w:b/>
                <w:bCs/>
              </w:rPr>
              <w:t xml:space="preserve">Penyiapan</w:t>
            </w:r>
          </w:p>
        </w:tc>
        <w:tc>
          <w:tcPr/>
          <w:p>
            <w:pPr>
              <w:pStyle w:val="Compact"/>
            </w:pPr>
            <w:r>
              <w:t xml:space="preserve">Dokumen Pra-Studi Kelayakan (lima kajian: strategis, ekonomi, komersial, finansial, manajemen)</w:t>
            </w:r>
          </w:p>
        </w:tc>
        <w:tc>
          <w:tcPr/>
          <w:p>
            <w:pPr>
              <w:pStyle w:val="Compact"/>
            </w:pPr>
            <w:r>
              <w:t xml:space="preserve">Menguji asumsi model finansial konsultan; memahami logika alokasi risiko</w:t>
            </w:r>
          </w:p>
        </w:tc>
        <w:tc>
          <w:tcPr/>
          <w:p>
            <w:pPr>
              <w:pStyle w:val="Compact"/>
            </w:pPr>
            <w:r>
              <w:t xml:space="preserve">Proyek rapuh secara finansial dan berhenti sebelum lelang</w:t>
            </w:r>
          </w:p>
        </w:tc>
      </w:tr>
      <w:tr>
        <w:tc>
          <w:tcPr/>
          <w:p>
            <w:pPr>
              <w:pStyle w:val="Compact"/>
            </w:pPr>
            <w:r>
              <w:rPr>
                <w:b/>
                <w:bCs/>
              </w:rPr>
              <w:t xml:space="preserve">Transaksi</w:t>
            </w:r>
          </w:p>
        </w:tc>
        <w:tc>
          <w:tcPr/>
          <w:p>
            <w:pPr>
              <w:pStyle w:val="Compact"/>
            </w:pPr>
            <w:r>
              <w:t xml:space="preserve">Perjanjian KPBU ditandatangani; pemenuhan pembiayaan (</w:t>
            </w:r>
            <w:r>
              <w:rPr>
                <w:i/>
                <w:iCs/>
              </w:rPr>
              <w:t xml:space="preserve">financial close</w:t>
            </w:r>
            <w:r>
              <w:t xml:space="preserve">)</w:t>
            </w:r>
          </w:p>
        </w:tc>
        <w:tc>
          <w:tcPr/>
          <w:p>
            <w:pPr>
              <w:pStyle w:val="Compact"/>
            </w:pPr>
            <w:r>
              <w:t xml:space="preserve">Menguasai pengadaan badan usaha dan hukum kontrak jangka panjang</w:t>
            </w:r>
          </w:p>
        </w:tc>
        <w:tc>
          <w:tcPr/>
          <w:p>
            <w:pPr>
              <w:pStyle w:val="Compact"/>
            </w:pPr>
            <w:r>
              <w:t xml:space="preserve">Risiko yang seharusnya beralih ke swasta kembali ke pemerintah</w:t>
            </w:r>
          </w:p>
        </w:tc>
      </w:tr>
      <w:tr>
        <w:tc>
          <w:tcPr/>
          <w:p>
            <w:pPr>
              <w:pStyle w:val="Compact"/>
            </w:pPr>
            <w:r>
              <w:rPr>
                <w:b/>
                <w:bCs/>
              </w:rPr>
              <w:t xml:space="preserve">Manajemen Kontrak</w:t>
            </w:r>
          </w:p>
        </w:tc>
        <w:tc>
          <w:tcPr/>
          <w:p>
            <w:pPr>
              <w:pStyle w:val="Compact"/>
            </w:pPr>
            <w:r>
              <w:t xml:space="preserve">Kinerja layanan terpantau sepanjang masa kerja sama (indikatif 15–30 tahun, rujukan 2026)</w:t>
            </w:r>
          </w:p>
        </w:tc>
        <w:tc>
          <w:tcPr/>
          <w:p>
            <w:pPr>
              <w:pStyle w:val="Compact"/>
            </w:pPr>
            <w:r>
              <w:t xml:space="preserve">Memantau kinerja terhadap standar layanan; mengelola risiko fiskal pembayaran</w:t>
            </w:r>
          </w:p>
        </w:tc>
        <w:tc>
          <w:tcPr/>
          <w:p>
            <w:pPr>
              <w:pStyle w:val="Compact"/>
            </w:pPr>
            <w:r>
              <w:t xml:space="preserve">Memori institusional hilang saat pejabat berganti</w:t>
            </w:r>
          </w:p>
        </w:tc>
      </w:tr>
    </w:tbl>
    <w:p>
      <w:pPr>
        <w:pStyle w:val="BodyText"/>
      </w:pPr>
      <w:r>
        <w:t xml:space="preserve">Baris terakhir paling sering diabaikan. Manajemen kontrak berjalan paling lama, tetapi nyaris tidak pernah masuk materi pelatihan penyiapan proyek. Padahal</w:t>
      </w:r>
      <w:r>
        <w:t xml:space="preserve"> </w:t>
      </w:r>
      <w:hyperlink r:id="rId19">
        <w:r>
          <w:rPr>
            <w:rStyle w:val="Hyperlink"/>
          </w:rPr>
          <w:t xml:space="preserve">studi kasus proyek infrastruktur di Indonesia</w:t>
        </w:r>
      </w:hyperlink>
      <w:r>
        <w:t xml:space="preserve"> </w:t>
      </w:r>
      <w:r>
        <w:t xml:space="preserve">pada sektor digital mencatat komitmen dan kapabilitas PJPK sebagai salah satu kunci utama keberhasilan.</w:t>
      </w:r>
    </w:p>
    <w:bookmarkEnd w:id="20"/>
    <w:bookmarkStart w:id="21" w:name="Xbb115451f601efd615d25d2db77c074f1375a1c"/>
    <w:p>
      <w:pPr>
        <w:pStyle w:val="Heading2"/>
      </w:pPr>
      <w:r>
        <w:t xml:space="preserve">Apa itu Simpul KPBU, dan mengapa banyak daerah memilikinya di atas kertas saja?</w:t>
      </w:r>
    </w:p>
    <w:p>
      <w:pPr>
        <w:pStyle w:val="FirstParagraph"/>
      </w:pPr>
      <w:r>
        <w:t xml:space="preserve">Simpul KPBU adalah unit kerja di kementerian, lembaga, atau pemerintah daerah yang menangani urusan KPBU. Menurut Peraturan Presiden No. 38 Tahun 2015, unit ini dapat dibentuk baru atau dilekatkan pada unit yang sudah ada, dengan fungsi merumuskan kebijakan, menyinkronkan, dan mengoordinasikan tahap perencanaan serta penyiapan, sekaligus mengawasi dan mengevaluasi pelaksanaannya.</w:t>
      </w:r>
    </w:p>
    <w:p>
      <w:pPr>
        <w:pStyle w:val="BodyText"/>
      </w:pPr>
      <w:r>
        <w:t xml:space="preserve">Perpres tersebut masih berstatus berlaku per pengecekan 2026 (peraturan.go.id, 2026).</w:t>
      </w:r>
    </w:p>
    <w:p>
      <w:pPr>
        <w:pStyle w:val="BodyText"/>
      </w:pPr>
      <w:r>
        <w:t xml:space="preserve">Jarak antara surat keputusan dan fungsi yang benar-benar berjalan adalah soal lain. SK pembentukan bisa terbit dalam sepekan; kemampuan menilai satu dokumen pra-studi kelayakan tidak. Di lapangan, Simpul KPBU yang hidup biasanya punya tiga penanda: personel yang khusus ditugasi, anggaran penyiapan yang direncanakan sejak awal, dan arsip proyek yang bisa diwariskan ke pejabat berikutnya. Ini pengamatan kualitatif atas pola yang berulang, bukan hasil survei berangka.</w:t>
      </w:r>
    </w:p>
    <w:bookmarkEnd w:id="21"/>
    <w:bookmarkStart w:id="25" w:name="Xec329907a511c78f78cff2cbf2af6aafe45d019"/>
    <w:p>
      <w:pPr>
        <w:pStyle w:val="Heading2"/>
      </w:pPr>
      <w:r>
        <w:t xml:space="preserve">Tiga jalur membangun kompetensi, dan kapan masing-masing masuk akal</w:t>
      </w:r>
    </w:p>
    <w:p>
      <w:pPr>
        <w:pStyle w:val="FirstParagraph"/>
      </w:pPr>
      <w:r>
        <w:t xml:space="preserve">Ada tiga jalur yang realistis: belajar mandiri untuk membangun pemahaman dasar, pendampingan teknis untuk belajar sambil mengerjakan proyek nyata, dan sertifikasi profesional untuk membakukan serta membuktikan kompetensi. Ketiganya tidak saling menggantikan. Pilihannya bergantung pada apakah tim sudah memegang proyek, dan seberapa jauh proyek itu berjalan.</w:t>
      </w:r>
    </w:p>
    <w:p>
      <w:pPr>
        <w:pStyle w:val="Compact"/>
        <w:numPr>
          <w:ilvl w:val="0"/>
          <w:numId w:val="1001"/>
        </w:numPr>
      </w:pPr>
      <w:r>
        <w:rPr>
          <w:b/>
          <w:bCs/>
        </w:rPr>
        <w:t xml:space="preserve">Belajar mandiri dan pembelajaran daring.</w:t>
      </w:r>
      <w:r>
        <w:t xml:space="preserve"> </w:t>
      </w:r>
      <w:r>
        <w:t xml:space="preserve">Cocok untuk tim yang baru terbentuk dengan anggaran terbatas.</w:t>
      </w:r>
      <w:r>
        <w:t xml:space="preserve"> </w:t>
      </w:r>
      <w:hyperlink r:id="rId22">
        <w:r>
          <w:rPr>
            <w:rStyle w:val="Hyperlink"/>
          </w:rPr>
          <w:t xml:space="preserve">APMG International secara eksplisit membuka jalur belajar mandiri</w:t>
        </w:r>
      </w:hyperlink>
      <w:r>
        <w:t xml:space="preserve"> </w:t>
      </w:r>
      <w:r>
        <w:t xml:space="preserve">untuk ketiga ujian CP3P memakai</w:t>
      </w:r>
      <w:r>
        <w:t xml:space="preserve"> </w:t>
      </w:r>
      <w:r>
        <w:rPr>
          <w:i/>
          <w:iCs/>
        </w:rPr>
        <w:t xml:space="preserve">PPP Guide</w:t>
      </w:r>
      <w:r>
        <w:t xml:space="preserve">, tanpa kewajiban mengikuti kursus (APMG International, 2026). Ujian Foundation berformat 50 soal pilihan ganda dalam 40 menit, nilai lulus 50 persen.</w:t>
      </w:r>
    </w:p>
    <w:p>
      <w:pPr>
        <w:pStyle w:val="Compact"/>
        <w:numPr>
          <w:ilvl w:val="0"/>
          <w:numId w:val="1001"/>
        </w:numPr>
      </w:pPr>
      <w:r>
        <w:rPr>
          <w:b/>
          <w:bCs/>
        </w:rPr>
        <w:t xml:space="preserve">Pendampingan teknis pada proyek berjalan.</w:t>
      </w:r>
      <w:r>
        <w:t xml:space="preserve"> </w:t>
      </w:r>
      <w:hyperlink r:id="rId23">
        <w:r>
          <w:rPr>
            <w:rStyle w:val="Hyperlink"/>
          </w:rPr>
          <w:t xml:space="preserve">Fasilitas Penyiapan Proyek</w:t>
        </w:r>
      </w:hyperlink>
      <w:r>
        <w:t xml:space="preserve"> </w:t>
      </w:r>
      <w:r>
        <w:t xml:space="preserve">(</w:t>
      </w:r>
      <w:r>
        <w:rPr>
          <w:i/>
          <w:iCs/>
        </w:rPr>
        <w:t xml:space="preserve">Project Development Facility</w:t>
      </w:r>
      <w:r>
        <w:t xml:space="preserve">/PDF) Kementerian Keuangan membantu PJPK menyusun Dokumen Pra-Studi Kelayakan; permohonannya diajukan ke Direktorat Jenderal Pembiayaan dan Pengelolaan Risiko (kpbu.kemenkeu.go.id, 2026). Format</w:t>
      </w:r>
      <w:r>
        <w:t xml:space="preserve"> </w:t>
      </w:r>
      <w:r>
        <w:rPr>
          <w:i/>
          <w:iCs/>
        </w:rPr>
        <w:t xml:space="preserve">coaching clinic</w:t>
      </w:r>
      <w:r>
        <w:t xml:space="preserve"> </w:t>
      </w:r>
      <w:r>
        <w:t xml:space="preserve">(pendampingan per instansi) juga dipakai: kegiatan di Bali pada September 2022 diikuti sekitar sepuluh pemerintah kabupaten/kota; kegiatan di Malang pada Maret 2023 diikuti 16 pemerintah daerah.</w:t>
      </w:r>
    </w:p>
    <w:p>
      <w:pPr>
        <w:pStyle w:val="Compact"/>
        <w:numPr>
          <w:ilvl w:val="0"/>
          <w:numId w:val="1001"/>
        </w:numPr>
      </w:pPr>
      <w:r>
        <w:rPr>
          <w:b/>
          <w:bCs/>
        </w:rPr>
        <w:t xml:space="preserve">Sertifikasi profesional.</w:t>
      </w:r>
      <w:r>
        <w:t xml:space="preserve"> </w:t>
      </w:r>
      <w:r>
        <w:t xml:space="preserve">CP3P (</w:t>
      </w:r>
      <w:r>
        <w:rPr>
          <w:i/>
          <w:iCs/>
        </w:rPr>
        <w:t xml:space="preserve">Certified Public-Private Partnership Professional</w:t>
      </w:r>
      <w:r>
        <w:t xml:space="preserve">) dikembangkan bersama ADB, EBRD, IDB, IsDB, dan World Bank Group dengan dukungan pendanaan PPIAF. APMG International memiliki programnya dan menganugerahkan kredensialnya, sedangkan pelatihannya diselenggarakan jaringan</w:t>
      </w:r>
      <w:r>
        <w:t xml:space="preserve"> </w:t>
      </w:r>
      <w:r>
        <w:rPr>
          <w:i/>
          <w:iCs/>
        </w:rPr>
        <w:t xml:space="preserve">Accredited Training Organization</w:t>
      </w:r>
      <w:r>
        <w:t xml:space="preserve"> </w:t>
      </w:r>
      <w:r>
        <w:t xml:space="preserve">(ATO); IIGF Institute tercatat sebagai ATO APMG pertama di Indonesia sejak 2019 (institute.iigf.co.id, 2026). Foundation menjadi prasyarat keduanya; setelah lulus, Preparation dan Execution tidak berurutan wajib, meski alur pekerjaan penyiapan membuat Preparation lazim ditempuh lebih dulu.</w:t>
      </w:r>
    </w:p>
    <w:p>
      <w:pPr>
        <w:pStyle w:val="FirstParagraph"/>
      </w:pPr>
      <w:r>
        <w:t xml:space="preserve">Biaya pelatihan CP3P berkisar Rp 19–21 juta per level (indikatif per publikasi 2026) dan dapat berubah, jadi verifikasi ke halaman resmi penyelenggara sebelum mendaftar. Sertifikasi apa pun tidak menjamin kelulusan ujian maupun keberhasilan proyek. Sebelum menimbang jalur</w:t>
      </w:r>
      <w:r>
        <w:t xml:space="preserve"> </w:t>
      </w:r>
      <w:hyperlink r:id="rId24">
        <w:r>
          <w:rPr>
            <w:rStyle w:val="Hyperlink"/>
          </w:rPr>
          <w:t xml:space="preserve">sertifikasi KPBU</w:t>
        </w:r>
      </w:hyperlink>
      <w:r>
        <w:t xml:space="preserve">, pastikan dasar regulasi nasionalnya dikuasai:</w:t>
      </w:r>
      <w:r>
        <w:t xml:space="preserve"> </w:t>
      </w:r>
      <w:r>
        <w:rPr>
          <w:i/>
          <w:iCs/>
        </w:rPr>
        <w:t xml:space="preserve">PPP Guide</w:t>
      </w:r>
      <w:r>
        <w:t xml:space="preserve"> </w:t>
      </w:r>
      <w:r>
        <w:t xml:space="preserve">adalah kerangka global, sedangkan Perpres 38/2015 dan Permen PPN/Bappenas No. 7 Tahun 2023 adalah kerangka yang mengikat secara hukum di Indonesia.</w:t>
      </w:r>
    </w:p>
    <w:bookmarkEnd w:id="25"/>
    <w:bookmarkStart w:id="26" w:name="Xed0c76afb73f325b4a702da98fc36f172e97ee7"/>
    <w:p>
      <w:pPr>
        <w:pStyle w:val="Heading2"/>
      </w:pPr>
      <w:r>
        <w:t xml:space="preserve">Kompetensi yang tidak boleh dialihdayakan ke konsultan</w:t>
      </w:r>
    </w:p>
    <w:p>
      <w:pPr>
        <w:pStyle w:val="FirstParagraph"/>
      </w:pPr>
      <w:r>
        <w:t xml:space="preserve">Penyusunan dokumen dan pemodelan finansial rinci wajar dikerjakan konsultan. Yang tidak bisa dipindahkan adalah kemampuan menantang hasilnya. Tanggung jawab hukum tetap melekat pada PJPK sepanjang siklus proyek, sehingga instansi yang tidak sanggup menguji asumsi konsultannya sedang menandatangani sesuatu yang tidak dipahaminya.</w:t>
      </w:r>
    </w:p>
    <w:p>
      <w:pPr>
        <w:pStyle w:val="Compact"/>
        <w:numPr>
          <w:ilvl w:val="0"/>
          <w:numId w:val="1002"/>
        </w:numPr>
      </w:pPr>
      <w:r>
        <w:rPr>
          <w:b/>
          <w:bCs/>
        </w:rPr>
        <w:t xml:space="preserve">Membaca dan menguji asumsi kelayakan.</w:t>
      </w:r>
      <w:r>
        <w:t xml:space="preserve"> </w:t>
      </w:r>
      <w:r>
        <w:t xml:space="preserve">Analisis</w:t>
      </w:r>
      <w:r>
        <w:t xml:space="preserve"> </w:t>
      </w:r>
      <w:r>
        <w:rPr>
          <w:i/>
          <w:iCs/>
        </w:rPr>
        <w:t xml:space="preserve">value for money</w:t>
      </w:r>
      <w:r>
        <w:t xml:space="preserve"> </w:t>
      </w:r>
      <w:r>
        <w:t xml:space="preserve">(nilai manfaat terhadap biaya) berfungsi sebagai penjaga gerbang: PJPK wajib melakukannya pada tahap perencanaan, saat strukturisasi, saat mengevaluasi penawaran, dan pada setiap amendemen kontrak (kpbu.kemenkeu.go.id, 2026).</w:t>
      </w:r>
    </w:p>
    <w:p>
      <w:pPr>
        <w:pStyle w:val="Compact"/>
        <w:numPr>
          <w:ilvl w:val="0"/>
          <w:numId w:val="1002"/>
        </w:numPr>
      </w:pPr>
      <w:r>
        <w:rPr>
          <w:b/>
          <w:bCs/>
        </w:rPr>
        <w:t xml:space="preserve">Memahami konsekuensi alokasi risiko terhadap anggaran.</w:t>
      </w:r>
      <w:r>
        <w:t xml:space="preserve"> </w:t>
      </w:r>
      <w:r>
        <w:t xml:space="preserve">Risiko dialokasikan kepada pihak yang paling mampu mengelolanya: perubahan regulasi ditanggung pemerintah karena bersumber dari pemerintah, risiko keuangan proyek ditanggung badan usaha yang punya instrumen mitigasi. Salah menempatkan satu risiko berarti kewajiban fiskal jangka panjang.</w:t>
      </w:r>
    </w:p>
    <w:p>
      <w:pPr>
        <w:pStyle w:val="Compact"/>
        <w:numPr>
          <w:ilvl w:val="0"/>
          <w:numId w:val="1002"/>
        </w:numPr>
      </w:pPr>
      <w:r>
        <w:rPr>
          <w:b/>
          <w:bCs/>
        </w:rPr>
        <w:t xml:space="preserve">Menjaga kesinambungan lintas periode kepemimpinan.</w:t>
      </w:r>
      <w:r>
        <w:t xml:space="preserve"> </w:t>
      </w:r>
      <w:r>
        <w:t xml:space="preserve">Kontrak KPBU umumnya berjalan 15–30 tahun (rentang indikatif per rujukan 2026; sumber berbeda menyebut kisaran berbeda), jauh melampaui masa jabatan siapa pun yang menandatanganinya.</w:t>
      </w:r>
    </w:p>
    <w:p>
      <w:pPr>
        <w:pStyle w:val="FirstParagraph"/>
      </w:pPr>
      <w:r>
        <w:t xml:space="preserve">Konsultan berhenti bekerja setelah dokumen selesai. Kewajiban kontraktual instansi tidak.</w:t>
      </w:r>
    </w:p>
    <w:bookmarkEnd w:id="26"/>
    <w:bookmarkStart w:id="33" w:name="faq-pertanyaan-yang-sering-diajukan"/>
    <w:p>
      <w:pPr>
        <w:pStyle w:val="Heading2"/>
      </w:pPr>
      <w:r>
        <w:t xml:space="preserve">FAQ (Pertanyaan yang Sering Diajukan)</w:t>
      </w:r>
    </w:p>
    <w:bookmarkStart w:id="27" w:name="Xa5fe8e3b5b7b9aec4af0ad4e9cd028507143d6e"/>
    <w:p>
      <w:pPr>
        <w:pStyle w:val="Heading3"/>
      </w:pPr>
      <w:r>
        <w:t xml:space="preserve">Apa kepanjangan PJPK dan apa tanggung jawabnya?</w:t>
      </w:r>
    </w:p>
    <w:p>
      <w:pPr>
        <w:pStyle w:val="FirstParagraph"/>
      </w:pPr>
      <w:r>
        <w:t xml:space="preserve">PJPK adalah Penanggung Jawab Proyek Kerja Sama: menteri, kepala lembaga, kepala daerah, atau BUMN/BUMD sesuai kewenangannya, yang bertindak sebagai penyelenggara proyek KPBU. Tanggung jawabnya membentang dari perencanaan hingga manajemen kontrak, termasuk memastikan pengadaan badan usaha berjalan adil dan mengawal perjanjian yang pada umumnya berlangsung dua hingga tiga dekade (kpbu.kemenkeu.go.id, 2026).</w:t>
      </w:r>
    </w:p>
    <w:bookmarkEnd w:id="27"/>
    <w:bookmarkStart w:id="28" w:name="X2d2214a8527c484eac394073ad441cba05f60c5"/>
    <w:p>
      <w:pPr>
        <w:pStyle w:val="Heading3"/>
      </w:pPr>
      <w:r>
        <w:t xml:space="preserve">Apa bedanya studi pendahuluan dan pra-studi kelayakan?</w:t>
      </w:r>
    </w:p>
    <w:p>
      <w:pPr>
        <w:pStyle w:val="FirstParagraph"/>
      </w:pPr>
      <w:r>
        <w:t xml:space="preserve">Studi Pendahuluan disusun pada tahap perencanaan untuk menilai secara awal apakah kebutuhan infrastruktur layak dijawab lewat skema KPBU. Bila hasilnya merekomendasikan KPBU, PJPK menyusun Dokumen Pra-Studi Kelayakan yang jauh lebih rinci, mencakup lima kajian: strategis, ekonomi, komersial, finansial, dan manajemen (kpbu.kemenkeu.go.id, 2026).</w:t>
      </w:r>
    </w:p>
    <w:bookmarkEnd w:id="28"/>
    <w:bookmarkStart w:id="29" w:name="X4b4493ceb4a76d3e2f96911d336b3a326671e8a"/>
    <w:p>
      <w:pPr>
        <w:pStyle w:val="Heading3"/>
      </w:pPr>
      <w:r>
        <w:t xml:space="preserve">Apa itu Project Development Facility dan bagaimana PJPK mengaksesnya?</w:t>
      </w:r>
    </w:p>
    <w:p>
      <w:pPr>
        <w:pStyle w:val="FirstParagraph"/>
      </w:pPr>
      <w:r>
        <w:t xml:space="preserve">Fasilitas Penyiapan Proyek atau</w:t>
      </w:r>
      <w:r>
        <w:t xml:space="preserve"> </w:t>
      </w:r>
      <w:r>
        <w:rPr>
          <w:i/>
          <w:iCs/>
        </w:rPr>
        <w:t xml:space="preserve">Project Development Facility</w:t>
      </w:r>
      <w:r>
        <w:t xml:space="preserve"> </w:t>
      </w:r>
      <w:r>
        <w:t xml:space="preserve">adalah dukungan pendanaan Kementerian Keuangan untuk membantu PJPK menyusun Dokumen Pra-Studi Kelayakan pada tahap penyiapan dan transaksi. Permohonan diajukan ke Direktorat Jenderal Pembiayaan dan Pengelolaan Risiko, dengan pelaksana teknis Direktorat PDPPI (kpbu.kemenkeu.go.id, 2026).</w:t>
      </w:r>
    </w:p>
    <w:bookmarkEnd w:id="29"/>
    <w:bookmarkStart w:id="30" w:name="X9e6cbd53878e2062e12a2d78d8f590fb38c488d"/>
    <w:p>
      <w:pPr>
        <w:pStyle w:val="Heading3"/>
      </w:pPr>
      <w:r>
        <w:t xml:space="preserve">Berapa lama tahap penyiapan proyek KPBU biasanya berlangsung?</w:t>
      </w:r>
    </w:p>
    <w:p>
      <w:pPr>
        <w:pStyle w:val="FirstParagraph"/>
      </w:pPr>
      <w:r>
        <w:t xml:space="preserve">Tidak ada durasi baku nasional. Lamanya bergantung pada kompleksitas sektor, ketersediaan data dasar, hasil penjajakan minat pasar, dan pengadaan lahan. Sebagai satu contoh, proyek KPBU persampahan di Balikpapan menyepakati pendampingan Fasilitas Penyiapan Proyek selama 36 bulan sesuai kesepakatan induknya (kpbu.kemenkeu.go.id, 2023), bukan angka rata-rata.</w:t>
      </w:r>
    </w:p>
    <w:bookmarkEnd w:id="30"/>
    <w:bookmarkStart w:id="31" w:name="Xb9c4f7745c89f21580d5d191b53ab6c713e7c8f"/>
    <w:p>
      <w:pPr>
        <w:pStyle w:val="Heading3"/>
      </w:pPr>
      <w:r>
        <w:t xml:space="preserve">Apakah aparatur daerah perlu sertifikasi untuk menangani proyek KPBU?</w:t>
      </w:r>
    </w:p>
    <w:p>
      <w:pPr>
        <w:pStyle w:val="FirstParagraph"/>
      </w:pPr>
      <w:r>
        <w:t xml:space="preserve">Sertifikasi bukan syarat wajib untuk bertugas di tim penyiapan, tetapi menjadi salah satu jalur membakukan kompetensi. CP3P dari APMG International memiliki tiga level dan dapat ditempuh lewat belajar mandiri maupun pelatihan di</w:t>
      </w:r>
      <w:r>
        <w:t xml:space="preserve"> </w:t>
      </w:r>
      <w:r>
        <w:rPr>
          <w:i/>
          <w:iCs/>
        </w:rPr>
        <w:t xml:space="preserve">Accredited Training Organization</w:t>
      </w:r>
      <w:r>
        <w:t xml:space="preserve">, tanpa menjamin kelulusan ujian atau keberhasilan proyek (APMG International, 2026).</w:t>
      </w:r>
    </w:p>
    <w:bookmarkEnd w:id="31"/>
    <w:bookmarkStart w:id="32" w:name="Xed28b6b50a189cad4bdfed91fd46e78e5989b7d"/>
    <w:p>
      <w:pPr>
        <w:pStyle w:val="Heading3"/>
      </w:pPr>
      <w:r>
        <w:t xml:space="preserve">Apa itu Kantor Bersama KPBU dan bantuan apa yang bisa diperoleh daerah dari sana?</w:t>
      </w:r>
    </w:p>
    <w:p>
      <w:pPr>
        <w:pStyle w:val="FirstParagraph"/>
      </w:pPr>
      <w:r>
        <w:t xml:space="preserve">Kantor Bersama KPBU adalah forum koordinasi tujuh kementerian/lembaga: Kemenko Perekonomian, Kemenko Marves, Kemendagri, Kemenkeu, Bappenas selaku sekretariat, Kementerian Investasi/BKPM, dan LKPP. Fungsinya layanan satu pintu bagi PJPK dan badan usaha, sehingga daerah memperoleh informasi, koordinasi lintas instansi, dan fasilitasi percepatan proses (kpbu.kemenkeu.go.id, 2026).</w:t>
      </w:r>
    </w:p>
    <w:bookmarkEnd w:id="32"/>
    <w:bookmarkEnd w:id="33"/>
    <w:bookmarkStart w:id="34" w:name="kesimpulan"/>
    <w:p>
      <w:pPr>
        <w:pStyle w:val="Heading2"/>
      </w:pPr>
      <w:r>
        <w:t xml:space="preserve">Kesimpulan</w:t>
      </w:r>
    </w:p>
    <w:p>
      <w:pPr>
        <w:pStyle w:val="FirstParagraph"/>
      </w:pPr>
      <w:r>
        <w:t xml:space="preserve">Kapasitas tim mengelola pembiayaan kreatif tidak terbentuk dalam satu kali pelatihan; ia menumpuk mengikuti tahap yang sedang dikerjakan. Instansi yang memetakan kebutuhannya per tahap menempatkan pembelajaran tepat sebelum pekerjaannya, bukan setahun setelah dokumen ditandatangani. Melalui tiga pilar edukasi, riset, dan advokasi kebijakan, IIGF Institute sebagai unit manajemen pengetahuan PT PII memperkuat kapasitas SDM dan basis pengetahuan KPBU di Indonesia, termasuk lewat program</w:t>
      </w:r>
      <w:r>
        <w:t xml:space="preserve"> </w:t>
      </w:r>
      <w:r>
        <w:rPr>
          <w:i/>
          <w:iCs/>
        </w:rPr>
        <w:t xml:space="preserve">PPP capacity building</w:t>
      </w:r>
      <w:r>
        <w:t xml:space="preserve"> </w:t>
      </w:r>
      <w:r>
        <w:t xml:space="preserve">bersama ekosistem Kantor Bersama KPBU. Langkah awalnya sederhana: tentukan tahap proyek yang sedang berjalan, lalu diskusikan kompetensi apa yang perlu ada sebelum tahap berikutnya tiba.</w:t>
      </w:r>
    </w:p>
    <w:p>
      <w:pPr>
        <w:pStyle w:val="BodyText"/>
      </w:pPr>
      <w:r>
        <w:t xml:space="preserve">Program pelatihan dan kajian KPBU yang relevan dengan tahap proyek Anda dapat ditelusuri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19" Target="https://institute.iigf.co.id/e-library/lainnya/77/studi-kasus-kpbu-untuk-penguatan-infrastruktur-digital-dan-informasi" TargetMode="External" /><Relationship Type="http://schemas.openxmlformats.org/officeDocument/2006/relationships/hyperlink" Id="rId23" Target="https://kpbu.kemenkeu.go.id/read/1094-1255/pjpk/dukungan-pemerintah/fasilitas-penyiapan-proyek" TargetMode="External" /><Relationship Type="http://schemas.openxmlformats.org/officeDocument/2006/relationships/hyperlink" Id="rId22" Target="https://ppp-certification.com/certification" TargetMode="External" /></Relationships>
</file>

<file path=word/_rels/footnotes.xml.rels><?xml version="1.0" encoding="UTF-8"?><Relationships xmlns="http://schemas.openxmlformats.org/package/2006/relationships"><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19" Target="https://institute.iigf.co.id/e-library/lainnya/77/studi-kasus-kpbu-untuk-penguatan-infrastruktur-digital-dan-informasi" TargetMode="External" /><Relationship Type="http://schemas.openxmlformats.org/officeDocument/2006/relationships/hyperlink" Id="rId23" Target="https://kpbu.kemenkeu.go.id/read/1094-1255/pjpk/dukungan-pemerintah/fasilitas-penyiapan-proyek" TargetMode="External" /><Relationship Type="http://schemas.openxmlformats.org/officeDocument/2006/relationships/hyperlink" Id="rId22" Target="https://ppp-certification.com/cert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2026-08-12T08:52:56Z</dcterms:created>
  <dcterms:modified xsi:type="dcterms:W3CDTF">2026-08-12T08:52:56Z</dcterms:modified>
</cp:coreProperties>
</file>

<file path=docProps/custom.xml><?xml version="1.0" encoding="utf-8"?>
<Properties xmlns="http://schemas.openxmlformats.org/officeDocument/2006/custom-properties" xmlns:vt="http://schemas.openxmlformats.org/officeDocument/2006/docPropsVTypes"/>
</file>