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6" w:name="article-metadata"/>
    <w:p>
      <w:pPr>
        <w:pStyle w:val="Heading1"/>
      </w:pPr>
      <w:r>
        <w:t xml:space="preserve">Article Metadata</w:t>
      </w:r>
    </w:p>
    <w:p>
      <w:pPr>
        <w:pStyle w:val="SourceCode"/>
      </w:pPr>
      <w:r>
        <w:rPr>
          <w:rStyle w:val="FunctionTok"/>
        </w:rPr>
        <w:t xml:space="preserve">title</w:t>
      </w:r>
      <w:r>
        <w:rPr>
          <w:rStyle w:val="KeywordTok"/>
        </w:rPr>
        <w:t xml:space="preserve">:</w:t>
      </w:r>
      <w:r>
        <w:rPr>
          <w:rStyle w:val="AttributeTok"/>
        </w:rPr>
        <w:t xml:space="preserve"> </w:t>
      </w:r>
      <w:r>
        <w:rPr>
          <w:rStyle w:val="StringTok"/>
        </w:rPr>
        <w:t xml:space="preserve">"Studi Kasus Proyek Infrastruktur di Indonesia: 7 Elemen yang Wajib Dibedah"</w:t>
      </w:r>
      <w:r>
        <w:br/>
      </w:r>
      <w:r>
        <w:rPr>
          <w:rStyle w:val="FunctionTok"/>
        </w:rPr>
        <w:t xml:space="preserve">meta_title</w:t>
      </w:r>
      <w:r>
        <w:rPr>
          <w:rStyle w:val="KeywordTok"/>
        </w:rPr>
        <w:t xml:space="preserve">:</w:t>
      </w:r>
      <w:r>
        <w:rPr>
          <w:rStyle w:val="AttributeTok"/>
        </w:rPr>
        <w:t xml:space="preserve"> </w:t>
      </w:r>
      <w:r>
        <w:rPr>
          <w:rStyle w:val="StringTok"/>
        </w:rPr>
        <w:t xml:space="preserve">"Studi Kasus Proyek Infrastruktur Indonesia: 7 Elemen Kunci"</w:t>
      </w:r>
      <w:r>
        <w:br/>
      </w:r>
      <w:r>
        <w:rPr>
          <w:rStyle w:val="FunctionTok"/>
        </w:rPr>
        <w:t xml:space="preserve">meta_description</w:t>
      </w:r>
      <w:r>
        <w:rPr>
          <w:rStyle w:val="KeywordTok"/>
        </w:rPr>
        <w:t xml:space="preserve">:</w:t>
      </w:r>
      <w:r>
        <w:rPr>
          <w:rStyle w:val="AttributeTok"/>
        </w:rPr>
        <w:t xml:space="preserve"> </w:t>
      </w:r>
      <w:r>
        <w:rPr>
          <w:rStyle w:val="StringTok"/>
        </w:rPr>
        <w:t xml:space="preserve">"Panduan membedah studi kasus proyek infrastruktur di Indonesia lewat 7 elemen KPBU: struktur transaksi, alokasi risiko, VGF, dan disiplin sitasi angka."</w:t>
      </w:r>
      <w:r>
        <w:br/>
      </w:r>
      <w:r>
        <w:rPr>
          <w:rStyle w:val="FunctionTok"/>
        </w:rPr>
        <w:t xml:space="preserve">slug</w:t>
      </w:r>
      <w:r>
        <w:rPr>
          <w:rStyle w:val="KeywordTok"/>
        </w:rPr>
        <w:t xml:space="preserve">:</w:t>
      </w:r>
      <w:r>
        <w:rPr>
          <w:rStyle w:val="AttributeTok"/>
        </w:rPr>
        <w:t xml:space="preserve"> </w:t>
      </w:r>
      <w:r>
        <w:rPr>
          <w:rStyle w:val="StringTok"/>
        </w:rPr>
        <w:t xml:space="preserve">"studi-kasus-proyek-infrastruktur-di-indonesia-7-elemen"</w:t>
      </w:r>
      <w:r>
        <w:br/>
      </w:r>
      <w:r>
        <w:rPr>
          <w:rStyle w:val="FunctionTok"/>
        </w:rPr>
        <w:t xml:space="preserve">language</w:t>
      </w:r>
      <w:r>
        <w:rPr>
          <w:rStyle w:val="KeywordTok"/>
        </w:rPr>
        <w:t xml:space="preserve">:</w:t>
      </w:r>
      <w:r>
        <w:rPr>
          <w:rStyle w:val="AttributeTok"/>
        </w:rPr>
        <w:t xml:space="preserve"> </w:t>
      </w:r>
      <w:r>
        <w:rPr>
          <w:rStyle w:val="StringTok"/>
        </w:rPr>
        <w:t xml:space="preserve">"id"</w:t>
      </w:r>
      <w:r>
        <w:br/>
      </w:r>
      <w:r>
        <w:rPr>
          <w:rStyle w:val="FunctionTok"/>
        </w:rPr>
        <w:t xml:space="preserve">primary_keyword</w:t>
      </w:r>
      <w:r>
        <w:rPr>
          <w:rStyle w:val="KeywordTok"/>
        </w:rPr>
        <w:t xml:space="preserve">:</w:t>
      </w:r>
      <w:r>
        <w:rPr>
          <w:rStyle w:val="AttributeTok"/>
        </w:rPr>
        <w:t xml:space="preserve"> </w:t>
      </w:r>
      <w:r>
        <w:rPr>
          <w:rStyle w:val="StringTok"/>
        </w:rPr>
        <w:t xml:space="preserve">"studi kasus proyek infrastruktur di Indonesia"</w:t>
      </w:r>
      <w:r>
        <w:br/>
      </w:r>
      <w:r>
        <w:rPr>
          <w:rStyle w:val="FunctionTok"/>
        </w:rPr>
        <w:t xml:space="preserve">secondary_keywords</w:t>
      </w:r>
      <w:r>
        <w:rPr>
          <w:rStyle w:val="KeywordTok"/>
        </w:rPr>
        <w:t xml:space="preserve">:</w:t>
      </w:r>
      <w:r>
        <w:rPr>
          <w:rStyle w:val="AttributeTok"/>
        </w:rPr>
        <w:t xml:space="preserve"> </w:t>
      </w:r>
      <w:r>
        <w:rPr>
          <w:rStyle w:val="KeywordTok"/>
        </w:rPr>
        <w:t xml:space="preserve">[</w:t>
      </w:r>
      <w:r>
        <w:rPr>
          <w:rStyle w:val="StringTok"/>
        </w:rPr>
        <w:t xml:space="preserve">"studi kasus KPBU"</w:t>
      </w:r>
      <w:r>
        <w:rPr>
          <w:rStyle w:val="KeywordTok"/>
        </w:rPr>
        <w:t xml:space="preserve">,</w:t>
      </w:r>
      <w:r>
        <w:rPr>
          <w:rStyle w:val="AttributeTok"/>
        </w:rPr>
        <w:t xml:space="preserve"> </w:t>
      </w:r>
      <w:r>
        <w:rPr>
          <w:rStyle w:val="StringTok"/>
        </w:rPr>
        <w:t xml:space="preserve">"struktur transaksi KPBU"</w:t>
      </w:r>
      <w:r>
        <w:rPr>
          <w:rStyle w:val="KeywordTok"/>
        </w:rPr>
        <w:t xml:space="preserve">,</w:t>
      </w:r>
      <w:r>
        <w:rPr>
          <w:rStyle w:val="AttributeTok"/>
        </w:rPr>
        <w:t xml:space="preserve"> </w:t>
      </w:r>
      <w:r>
        <w:rPr>
          <w:rStyle w:val="StringTok"/>
        </w:rPr>
        <w:t xml:space="preserve">"alokasi risiko proyek infrastruktur"</w:t>
      </w:r>
      <w:r>
        <w:rPr>
          <w:rStyle w:val="KeywordTok"/>
        </w:rPr>
        <w:t xml:space="preserve">,</w:t>
      </w:r>
      <w:r>
        <w:rPr>
          <w:rStyle w:val="AttributeTok"/>
        </w:rPr>
        <w:t xml:space="preserve"> </w:t>
      </w:r>
      <w:r>
        <w:rPr>
          <w:rStyle w:val="StringTok"/>
        </w:rPr>
        <w:t xml:space="preserve">"mekanisme pengembalian investasi"</w:t>
      </w:r>
      <w:r>
        <w:rPr>
          <w:rStyle w:val="KeywordTok"/>
        </w:rPr>
        <w:t xml:space="preserve">,</w:t>
      </w:r>
      <w:r>
        <w:rPr>
          <w:rStyle w:val="AttributeTok"/>
        </w:rPr>
        <w:t xml:space="preserve"> </w:t>
      </w:r>
      <w:r>
        <w:rPr>
          <w:rStyle w:val="StringTok"/>
        </w:rPr>
        <w:t xml:space="preserve">"dukungan kelayakan (viability gap fund)"</w:t>
      </w:r>
      <w:r>
        <w:rPr>
          <w:rStyle w:val="KeywordTok"/>
        </w:rPr>
        <w:t xml:space="preserve">,</w:t>
      </w:r>
      <w:r>
        <w:rPr>
          <w:rStyle w:val="AttributeTok"/>
        </w:rPr>
        <w:t xml:space="preserve"> </w:t>
      </w:r>
      <w:r>
        <w:rPr>
          <w:rStyle w:val="StringTok"/>
        </w:rPr>
        <w:t xml:space="preserve">"penjaminan infrastruktur"</w:t>
      </w:r>
      <w:r>
        <w:rPr>
          <w:rStyle w:val="KeywordTok"/>
        </w:rPr>
        <w:t xml:space="preserve">,</w:t>
      </w:r>
      <w:r>
        <w:rPr>
          <w:rStyle w:val="AttributeTok"/>
        </w:rPr>
        <w:t xml:space="preserve"> </w:t>
      </w:r>
      <w:r>
        <w:rPr>
          <w:rStyle w:val="StringTok"/>
        </w:rPr>
        <w:t xml:space="preserve">"value for money infrastruktur"</w:t>
      </w:r>
      <w:r>
        <w:rPr>
          <w:rStyle w:val="KeywordTok"/>
        </w:rPr>
        <w:t xml:space="preserve">,</w:t>
      </w:r>
      <w:r>
        <w:rPr>
          <w:rStyle w:val="AttributeTok"/>
        </w:rPr>
        <w:t xml:space="preserve"> </w:t>
      </w:r>
      <w:r>
        <w:rPr>
          <w:rStyle w:val="StringTok"/>
        </w:rPr>
        <w:t xml:space="preserve">"badan usaha pelaksana (BUP)"</w:t>
      </w:r>
      <w:r>
        <w:rPr>
          <w:rStyle w:val="KeywordTok"/>
        </w:rPr>
        <w:t xml:space="preserve">,</w:t>
      </w:r>
      <w:r>
        <w:rPr>
          <w:rStyle w:val="AttributeTok"/>
        </w:rPr>
        <w:t xml:space="preserve"> </w:t>
      </w:r>
      <w:r>
        <w:rPr>
          <w:rStyle w:val="StringTok"/>
        </w:rPr>
        <w:t xml:space="preserve">"PJPK"</w:t>
      </w:r>
      <w:r>
        <w:rPr>
          <w:rStyle w:val="KeywordTok"/>
        </w:rPr>
        <w:t xml:space="preserve">,</w:t>
      </w:r>
      <w:r>
        <w:rPr>
          <w:rStyle w:val="AttributeTok"/>
        </w:rPr>
        <w:t xml:space="preserve"> </w:t>
      </w:r>
      <w:r>
        <w:rPr>
          <w:rStyle w:val="StringTok"/>
        </w:rPr>
        <w:t xml:space="preserve">"dokumen primer proyek infrastruktur"</w:t>
      </w:r>
      <w:r>
        <w:rPr>
          <w:rStyle w:val="KeywordTok"/>
        </w:rPr>
        <w:t xml:space="preserve">]</w:t>
      </w:r>
      <w:r>
        <w:br/>
      </w:r>
      <w:r>
        <w:rPr>
          <w:rStyle w:val="FunctionTok"/>
        </w:rPr>
        <w:t xml:space="preserve">internal_links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"https://institute.iigf.co.id/e-library/lainnya/77/studi-kasus-kpbu-untuk-penguatan-infrastruktur-digital-dan-informasi"</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"studi kasus proyek infrastruktur di Indonesia"</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"https://institute.iigf.co.id/"</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"sertifikasi KPBU"</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"https://institute.iigf.co.id/capacity-building"</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"capacity building pembiayaan kreatif"</w:t>
      </w:r>
      <w:r>
        <w:br/>
      </w:r>
      <w:r>
        <w:rPr>
          <w:rStyle w:val="FunctionTok"/>
        </w:rPr>
        <w:t xml:space="preserve">external_citations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"https://kpbu.kemenkeu.go.id/proyek/detail/81-sistem-penyediaan-air-minum-umbulan"</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"Data proyek SPAM Umbulan: PJPK, Capex, skema pengembalian investasi, dukungan kelayakan Rp818 miliar, tanggal operasi komersial"</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"https://ppp.worldbank.org/public-private-partnership/ppp-knowledge-lab"</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"Kerangka internasional value for money dan pembacaan struktur PPP"</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"https://kpbu.kemenkeu.go.id/read/1098-1261/pjpk/dukungan-pemerintah/dukungan-kelayakan"</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"Definisi resmi dukungan kelayakan (VGF) dan syarat nilai investasi minimum Rp100 miliar"</w:t>
      </w:r>
      <w:r>
        <w:br/>
      </w:r>
      <w:r>
        <w:rPr>
          <w:rStyle w:val="FunctionTok"/>
        </w:rPr>
        <w:t xml:space="preserve">brief_id</w:t>
      </w:r>
      <w:r>
        <w:rPr>
          <w:rStyle w:val="KeywordTok"/>
        </w:rPr>
        <w:t xml:space="preserve">:</w:t>
      </w:r>
      <w:r>
        <w:rPr>
          <w:rStyle w:val="AttributeTok"/>
        </w:rPr>
        <w:t xml:space="preserve"> </w:t>
      </w:r>
      <w:r>
        <w:rPr>
          <w:rStyle w:val="StringTok"/>
        </w:rPr>
        <w:t xml:space="preserve">"studi-kasus-proyek-infrastruktur-di-indonesia-01"</w:t>
      </w:r>
      <w:r>
        <w:br/>
      </w:r>
      <w:r>
        <w:rPr>
          <w:rStyle w:val="FunctionTok"/>
        </w:rPr>
        <w:t xml:space="preserve">target_word_count</w:t>
      </w:r>
      <w:r>
        <w:rPr>
          <w:rStyle w:val="KeywordTok"/>
        </w:rPr>
        <w:t xml:space="preserve">:</w:t>
      </w:r>
      <w:r>
        <w:rPr>
          <w:rStyle w:val="AttributeTok"/>
        </w:rPr>
        <w:t xml:space="preserve"> </w:t>
      </w:r>
      <w:r>
        <w:rPr>
          <w:rStyle w:val="DecValTok"/>
        </w:rPr>
        <w:t xml:space="preserve">1400</w:t>
      </w:r>
      <w:r>
        <w:br/>
      </w:r>
      <w:r>
        <w:rPr>
          <w:rStyle w:val="FunctionTok"/>
        </w:rPr>
        <w:t xml:space="preserve">publish_month</w:t>
      </w:r>
      <w:r>
        <w:rPr>
          <w:rStyle w:val="KeywordTok"/>
        </w:rPr>
        <w:t xml:space="preserve">:</w:t>
      </w:r>
      <w:r>
        <w:rPr>
          <w:rStyle w:val="AttributeTok"/>
        </w:rPr>
        <w:t xml:space="preserve"> </w:t>
      </w:r>
      <w:r>
        <w:rPr>
          <w:rStyle w:val="StringTok"/>
        </w:rPr>
        <w:t xml:space="preserve">"2026-08"</w:t>
      </w:r>
      <w:r>
        <w:br/>
      </w:r>
      <w:r>
        <w:rPr>
          <w:rStyle w:val="FunctionTok"/>
        </w:rPr>
        <w:t xml:space="preserve">word_count</w:t>
      </w:r>
      <w:r>
        <w:rPr>
          <w:rStyle w:val="KeywordTok"/>
        </w:rPr>
        <w:t xml:space="preserve">:</w:t>
      </w:r>
      <w:r>
        <w:rPr>
          <w:rStyle w:val="AttributeTok"/>
        </w:rPr>
        <w:t xml:space="preserve"> </w:t>
      </w:r>
      <w:r>
        <w:rPr>
          <w:rStyle w:val="DecValTok"/>
        </w:rPr>
        <w:t xml:space="preserve">1576</w:t>
      </w:r>
    </w:p>
    <w:p>
      <w:r>
        <w:pict>
          <v:rect style="width:0;height:1.5pt" o:hralign="center" o:hrstd="t" o:hr="t"/>
        </w:pict>
      </w:r>
    </w:p>
    <w:bookmarkEnd w:id="16"/>
    <w:bookmarkStart w:id="36" w:name="Xa36857871e7a65e2c694de0731f5049408c3ea2"/>
    <w:p>
      <w:pPr>
        <w:pStyle w:val="Heading1"/>
      </w:pPr>
      <w:r>
        <w:t xml:space="preserve">Studi Kasus Proyek Infrastruktur di Indonesia: 7 Elemen yang Wajib Dibedah</w:t>
      </w:r>
    </w:p>
    <w:p>
      <w:pPr>
        <w:pStyle w:val="FirstParagraph"/>
      </w:pPr>
      <w:r>
        <w:t xml:space="preserve">Perintahnya terdengar sederhana:</w:t>
      </w:r>
      <w:r>
        <w:t xml:space="preserve"> </w:t>
      </w:r>
      <w:r>
        <w:t xml:space="preserve">“pelajari studi kasus proyek KPBU yang sudah jalan.”</w:t>
      </w:r>
      <w:r>
        <w:t xml:space="preserve"> </w:t>
      </w:r>
      <w:r>
        <w:t xml:space="preserve">Masalahnya, sebagian besar tulisan yang muncul di hasil pencarian bercerita soal bentang jembatan dan tantangan geoteknik, bukan soal siapa menanggung risiko apa dan dari mana uang investor kembali. Pembacanya berhenti dengan kekaguman, bukan dengan pelajaran yang bisa dipakai. Artikel ini menawarkan kerangka bacanya: tujuh elemen yang wajib ditarik dari setiap</w:t>
      </w:r>
      <w:r>
        <w:t xml:space="preserve"> </w:t>
      </w:r>
      <w:hyperlink r:id="rId17">
        <w:r>
          <w:rPr>
            <w:rStyle w:val="Hyperlink"/>
          </w:rPr>
          <w:t xml:space="preserve">studi kasus proyek infrastruktur di Indonesia</w:t>
        </w:r>
      </w:hyperlink>
      <w:r>
        <w:t xml:space="preserve"> </w:t>
      </w:r>
      <w:r>
        <w:t xml:space="preserve">sebelum seseorang berhak menyimpulkan</w:t>
      </w:r>
      <w:r>
        <w:t xml:space="preserve"> </w:t>
      </w:r>
      <w:r>
        <w:t xml:space="preserve">“proyek ini berhasil”</w:t>
      </w:r>
      <w:r>
        <w:t xml:space="preserve">.</w:t>
      </w:r>
    </w:p>
    <w:p>
      <w:pPr>
        <w:pStyle w:val="BlockText"/>
      </w:pPr>
      <w:r>
        <w:rPr>
          <w:b/>
          <w:bCs/>
        </w:rPr>
        <w:t xml:space="preserve">Ringkasnya:</w:t>
      </w:r>
      <w:r>
        <w:t xml:space="preserve"> </w:t>
      </w:r>
      <w:r>
        <w:t xml:space="preserve">Studi kasus proyek infrastruktur di Indonesia adalah analisis terdokumentasi atas satu proyek nyata (umumnya berskema Kerja Sama Pemerintah dengan Badan Usaha atau KPBU) yang menguraikan struktur transaksi, pembagian risiko, mekanisme pengembalian investasi, dukungan pemerintah, dan hasil aktualnya, sehingga pelajarannya bisa diverifikasi dan diterapkan pada proyek lain.</w:t>
      </w:r>
    </w:p>
    <w:bookmarkStart w:id="18" w:name="X31f3e4cd64b0a69018e03023dc8513ead51652a"/>
    <w:p>
      <w:pPr>
        <w:pStyle w:val="Heading2"/>
      </w:pPr>
      <w:r>
        <w:t xml:space="preserve">Apa itu studi kasus proyek infrastruktur di Indonesia?</w:t>
      </w:r>
    </w:p>
    <w:p>
      <w:pPr>
        <w:pStyle w:val="FirstParagraph"/>
      </w:pPr>
      <w:r>
        <w:t xml:space="preserve">Studi kasus proyek infrastruktur adalah dokumen analitis yang membedah satu proyek nyata dari sisi transaksi, bukan dari sisi rekayasa teknis. Ia menjawab siapa pihaknya, risiko apa dialokasikan ke siapa, bagaimana investasi kembali, dan apa bentuk dukungan pemerintahnya. Berita proyek melaporkan progres fisik; studi kasus menjelaskan mengapa strukturnya dipilih.</w:t>
      </w:r>
    </w:p>
    <w:p>
      <w:pPr>
        <w:pStyle w:val="BodyText"/>
      </w:pPr>
      <w:r>
        <w:t xml:space="preserve">Perbedaannya bukan soal gaya menulis. Sebuah profil proyek bisa akurat sepenuhnya dan tetap tidak berguna bagi tim penyiapan, karena tak satu variabel pun bisa dipindahkan ke proyek berikutnya. Lensa transaksi itulah yang membuat sebuah kasus dapat dipakai ulang: skema KPBU diatur Perpres Nomor 38 Tahun 2015, dan kerangka itu yang berulang, bukan bentang jembatannya.</w:t>
      </w:r>
    </w:p>
    <w:bookmarkEnd w:id="18"/>
    <w:bookmarkStart w:id="21" w:name="X8b9f063e264e981aa33ba006d14b5b23201bcb7"/>
    <w:p>
      <w:pPr>
        <w:pStyle w:val="Heading2"/>
      </w:pPr>
      <w:r>
        <w:t xml:space="preserve">Tujuh elemen yang wajib ditarik dari setiap studi kasus</w:t>
      </w:r>
    </w:p>
    <w:p>
      <w:pPr>
        <w:pStyle w:val="FirstParagraph"/>
      </w:pPr>
      <w:r>
        <w:t xml:space="preserve">Tujuh elemen tersebut adalah struktur transaksi dan para pihak, pembagian risiko, mekanisme pengembalian investasi, dukungan pemerintah, dasar</w:t>
      </w:r>
      <w:r>
        <w:t xml:space="preserve"> </w:t>
      </w:r>
      <w:r>
        <w:rPr>
          <w:i/>
          <w:iCs/>
        </w:rPr>
        <w:t xml:space="preserve">value for money</w:t>
      </w:r>
      <w:r>
        <w:t xml:space="preserve">, status faktual proyek beserta tanggalnya, dan sumber dokumen primer yang dipakai. Jika satu elemen hilang, kesimpulan tentang keberhasilan proyek belum punya dasar yang cukup.</w:t>
      </w:r>
    </w:p>
    <w:p>
      <w:pPr>
        <w:pStyle w:val="Compact"/>
        <w:numPr>
          <w:ilvl w:val="0"/>
          <w:numId w:val="1001"/>
        </w:numPr>
      </w:pPr>
      <w:r>
        <w:rPr>
          <w:b/>
          <w:bCs/>
        </w:rPr>
        <w:t xml:space="preserve">Struktur transaksi dan para pihak.</w:t>
      </w:r>
      <w:r>
        <w:t xml:space="preserve"> </w:t>
      </w:r>
      <w:r>
        <w:t xml:space="preserve">Siapa PJPK (</w:t>
      </w:r>
      <w:r>
        <w:rPr>
          <w:i/>
          <w:iCs/>
        </w:rPr>
        <w:t xml:space="preserve">Penanggung Jawab Proyek Kerja Sama</w:t>
      </w:r>
      <w:r>
        <w:t xml:space="preserve">), siapa badan usaha pelaksana (BUP), siapa pemberi pinjaman dan penjaminnya.</w:t>
      </w:r>
    </w:p>
    <w:p>
      <w:pPr>
        <w:pStyle w:val="Compact"/>
        <w:numPr>
          <w:ilvl w:val="0"/>
          <w:numId w:val="1001"/>
        </w:numPr>
      </w:pPr>
      <w:r>
        <w:rPr>
          <w:b/>
          <w:bCs/>
        </w:rPr>
        <w:t xml:space="preserve">Pembagian risiko.</w:t>
      </w:r>
      <w:r>
        <w:t xml:space="preserve"> </w:t>
      </w:r>
      <w:r>
        <w:t xml:space="preserve">Risiko apa ke pihak mana, dan alasannya. Prinsipnya satu: risiko dipikul pihak yang paling mampu mengelolanya, bukan pihak dengan posisi tawar terlemah.</w:t>
      </w:r>
    </w:p>
    <w:p>
      <w:pPr>
        <w:pStyle w:val="Compact"/>
        <w:numPr>
          <w:ilvl w:val="0"/>
          <w:numId w:val="1001"/>
        </w:numPr>
      </w:pPr>
      <w:r>
        <w:rPr>
          <w:b/>
          <w:bCs/>
        </w:rPr>
        <w:t xml:space="preserve">Mekanisme pengembalian investasi.</w:t>
      </w:r>
      <w:r>
        <w:t xml:space="preserve"> </w:t>
      </w:r>
      <w:r>
        <w:rPr>
          <w:i/>
          <w:iCs/>
        </w:rPr>
        <w:t xml:space="preserve">User pay</w:t>
      </w:r>
      <w:r>
        <w:t xml:space="preserve"> </w:t>
      </w:r>
      <w:r>
        <w:t xml:space="preserve">(tarif dari pengguna) atau</w:t>
      </w:r>
      <w:r>
        <w:t xml:space="preserve"> </w:t>
      </w:r>
      <w:r>
        <w:rPr>
          <w:i/>
          <w:iCs/>
        </w:rPr>
        <w:t xml:space="preserve">availability payment</w:t>
      </w:r>
      <w:r>
        <w:t xml:space="preserve"> </w:t>
      </w:r>
      <w:r>
        <w:t xml:space="preserve">(pembayaran berkala pemerintah atas ketersediaan layanan). Pilihan ini menentukan siapa memikul risiko pendapatan.</w:t>
      </w:r>
    </w:p>
    <w:p>
      <w:pPr>
        <w:pStyle w:val="Compact"/>
        <w:numPr>
          <w:ilvl w:val="0"/>
          <w:numId w:val="1001"/>
        </w:numPr>
      </w:pPr>
      <w:r>
        <w:rPr>
          <w:b/>
          <w:bCs/>
        </w:rPr>
        <w:t xml:space="preserve">Dukungan pemerintah.</w:t>
      </w:r>
      <w:r>
        <w:t xml:space="preserve"> </w:t>
      </w:r>
      <w:r>
        <w:t xml:space="preserve">Dukungan kelayakan (</w:t>
      </w:r>
      <w:r>
        <w:rPr>
          <w:i/>
          <w:iCs/>
        </w:rPr>
        <w:t xml:space="preserve">viability gap fund</w:t>
      </w:r>
      <w:r>
        <w:t xml:space="preserve">/VGF) adalah kontribusi tunai atas sebagian biaya konstruksi; penjaminan infrastruktur adalah jaring pengaman yang baru cair bila risiko tertentu terjadi. Dua hal berbeda, dan paling sering tertukar.</w:t>
      </w:r>
    </w:p>
    <w:p>
      <w:pPr>
        <w:pStyle w:val="Compact"/>
        <w:numPr>
          <w:ilvl w:val="0"/>
          <w:numId w:val="1001"/>
        </w:numPr>
      </w:pPr>
      <w:r>
        <w:rPr>
          <w:b/>
          <w:bCs/>
        </w:rPr>
        <w:t xml:space="preserve">Dasar</w:t>
      </w:r>
      <w:r>
        <w:rPr>
          <w:b/>
          <w:bCs/>
        </w:rPr>
        <w:t xml:space="preserve"> </w:t>
      </w:r>
      <w:r>
        <w:rPr>
          <w:b/>
          <w:bCs/>
          <w:i/>
          <w:iCs/>
        </w:rPr>
        <w:t xml:space="preserve">value for money</w:t>
      </w:r>
      <w:r>
        <w:rPr>
          <w:b/>
          <w:bCs/>
        </w:rPr>
        <w:t xml:space="preserve">.</w:t>
      </w:r>
      <w:r>
        <w:t xml:space="preserve"> </w:t>
      </w:r>
      <w:r>
        <w:t xml:space="preserve">Kementerian Keuangan mendefinisikannya sebagai pencapaian maksimum atas setiap biaya input sepanjang biaya siklus hidup proyek, sejalan dengan kerangka</w:t>
      </w:r>
      <w:r>
        <w:t xml:space="preserve"> </w:t>
      </w:r>
      <w:hyperlink r:id="rId19">
        <w:r>
          <w:rPr>
            <w:rStyle w:val="Hyperlink"/>
          </w:rPr>
          <w:t xml:space="preserve">PPP Knowledge Lab Bank Dunia</w:t>
        </w:r>
      </w:hyperlink>
      <w:r>
        <w:t xml:space="preserve">.</w:t>
      </w:r>
    </w:p>
    <w:p>
      <w:pPr>
        <w:pStyle w:val="Compact"/>
        <w:numPr>
          <w:ilvl w:val="0"/>
          <w:numId w:val="1001"/>
        </w:numPr>
      </w:pPr>
      <w:r>
        <w:rPr>
          <w:b/>
          <w:bCs/>
        </w:rPr>
        <w:t xml:space="preserve">Status faktual hari ini, beserta tanggalnya.</w:t>
      </w:r>
      <w:r>
        <w:t xml:space="preserve"> </w:t>
      </w:r>
      <w:r>
        <w:t xml:space="preserve">“Sudah beroperasi”</w:t>
      </w:r>
      <w:r>
        <w:t xml:space="preserve"> </w:t>
      </w:r>
      <w:r>
        <w:t xml:space="preserve">tanpa tanggal dan tanpa angka pemanfaatan bukan informasi.</w:t>
      </w:r>
    </w:p>
    <w:p>
      <w:pPr>
        <w:pStyle w:val="Compact"/>
        <w:numPr>
          <w:ilvl w:val="0"/>
          <w:numId w:val="1001"/>
        </w:numPr>
      </w:pPr>
      <w:r>
        <w:rPr>
          <w:b/>
          <w:bCs/>
        </w:rPr>
        <w:t xml:space="preserve">Sumber dokumen primer.</w:t>
      </w:r>
      <w:r>
        <w:t xml:space="preserve"> </w:t>
      </w:r>
      <w:r>
        <w:t xml:space="preserve">Bila sebuah studi kasus tak menyebut asal angkanya, enam elemen sebelumnya tidak bisa diverifikasi siapa pun.</w:t>
      </w:r>
    </w:p>
    <w:p>
      <w:pPr>
        <w:pStyle w:val="FirstParagraph"/>
      </w:pPr>
      <w:r>
        <w:t xml:space="preserve">Membaca struktur transaksi bukan bakat, melainkan keterampilan yang bisa dilatih dan diuji, termasuk lewat jalur</w:t>
      </w:r>
      <w:r>
        <w:t xml:space="preserve"> </w:t>
      </w:r>
      <w:hyperlink r:id="rId20">
        <w:r>
          <w:rPr>
            <w:rStyle w:val="Hyperlink"/>
          </w:rPr>
          <w:t xml:space="preserve">sertifikasi KPBU</w:t>
        </w:r>
      </w:hyperlink>
      <w:r>
        <w:t xml:space="preserve"> </w:t>
      </w:r>
      <w:r>
        <w:t xml:space="preserve">yang mengacu pada kerangka PPP Guide. Kredensial CP3P sendiri dimiliki dan dianugerahkan APMG International; lembaga pelatihan berperan sebagai penyelenggara terakreditasi (</w:t>
      </w:r>
      <w:r>
        <w:rPr>
          <w:i/>
          <w:iCs/>
        </w:rPr>
        <w:t xml:space="preserve">Accredited Training Organization</w:t>
      </w:r>
      <w:r>
        <w:t xml:space="preserve">/ATO).</w:t>
      </w:r>
    </w:p>
    <w:bookmarkEnd w:id="21"/>
    <w:bookmarkStart w:id="23" w:name="X4115ee97cbc5d168752c60d15c445aa7af4010e"/>
    <w:p>
      <w:pPr>
        <w:pStyle w:val="Heading2"/>
      </w:pPr>
      <w:r>
        <w:t xml:space="preserve">Menerapkan tujuh elemen pada satu kasus: SPAM Umbulan</w:t>
      </w:r>
    </w:p>
    <w:p>
      <w:pPr>
        <w:pStyle w:val="FirstParagraph"/>
      </w:pPr>
      <w:r>
        <w:t xml:space="preserve">Sistem Penyediaan Air Minum (SPAM) Umbulan di Jawa Timur cukup terdokumentasi untuk diuji dengan ketujuh elemen sekaligus. Kapasitas desainnya 4.000 liter per detik lewat pipa transmisi sekitar 93 km untuk lima kabupaten/kota (portal KPBU Kemenkeu, diakses 2026), dan pengembalian investasinya bertumpu pada tarif pengguna, bukan pembayaran ketersediaan layanan.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Elemen</w:t>
            </w:r>
          </w:p>
        </w:tc>
        <w:tc>
          <w:tcPr/>
          <w:p>
            <w:pPr>
              <w:pStyle w:val="Compact"/>
            </w:pPr>
            <w:r>
              <w:t xml:space="preserve">Isian SPAM Umbulan</w:t>
            </w:r>
          </w:p>
        </w:tc>
      </w:tr>
      <w:tr>
        <w:tc>
          <w:tcPr/>
          <w:p>
            <w:pPr>
              <w:pStyle w:val="Compact"/>
            </w:pPr>
            <w:r>
              <w:t xml:space="preserve">1</w:t>
            </w:r>
          </w:p>
        </w:tc>
        <w:tc>
          <w:tcPr/>
          <w:p>
            <w:pPr>
              <w:pStyle w:val="Compact"/>
            </w:pPr>
            <w:r>
              <w:t xml:space="preserve">Para pihak</w:t>
            </w:r>
          </w:p>
        </w:tc>
        <w:tc>
          <w:tcPr/>
          <w:p>
            <w:pPr>
              <w:pStyle w:val="Compact"/>
            </w:pPr>
            <w:r>
              <w:t xml:space="preserve">PJPK: Gubernur Jawa Timur. BUP: PT Meta Adhya Tirta Umbulan. Penjamin: PT Penjaminan Infrastruktur Indonesia (Persero)/PT PII.</w:t>
            </w:r>
          </w:p>
        </w:tc>
      </w:tr>
      <w:tr>
        <w:tc>
          <w:tcPr/>
          <w:p>
            <w:pPr>
              <w:pStyle w:val="Compact"/>
            </w:pPr>
            <w:r>
              <w:t xml:space="preserve">2</w:t>
            </w:r>
          </w:p>
        </w:tc>
        <w:tc>
          <w:tcPr/>
          <w:p>
            <w:pPr>
              <w:pStyle w:val="Compact"/>
            </w:pPr>
            <w:r>
              <w:t xml:space="preserve">Pembagian risiko</w:t>
            </w:r>
          </w:p>
        </w:tc>
        <w:tc>
          <w:tcPr/>
          <w:p>
            <w:pPr>
              <w:pStyle w:val="Compact"/>
            </w:pPr>
            <w:r>
              <w:t xml:space="preserve">Skema</w:t>
            </w:r>
            <w:r>
              <w:t xml:space="preserve"> </w:t>
            </w:r>
            <w:r>
              <w:rPr>
                <w:i/>
                <w:iCs/>
              </w:rPr>
              <w:t xml:space="preserve">build operate transfer</w:t>
            </w:r>
            <w:r>
              <w:t xml:space="preserve">: risiko konstruksi dan operasi di badan usaha; risiko gagal bayar dimitigasi penjaminan.</w:t>
            </w:r>
          </w:p>
        </w:tc>
      </w:tr>
      <w:tr>
        <w:tc>
          <w:tcPr/>
          <w:p>
            <w:pPr>
              <w:pStyle w:val="Compact"/>
            </w:pPr>
            <w:r>
              <w:t xml:space="preserve">3</w:t>
            </w:r>
          </w:p>
        </w:tc>
        <w:tc>
          <w:tcPr/>
          <w:p>
            <w:pPr>
              <w:pStyle w:val="Compact"/>
            </w:pPr>
            <w:r>
              <w:t xml:space="preserve">Pengembalian investasi</w:t>
            </w:r>
          </w:p>
        </w:tc>
        <w:tc>
          <w:tcPr/>
          <w:p>
            <w:pPr>
              <w:pStyle w:val="Compact"/>
            </w:pPr>
            <w:r>
              <w:rPr>
                <w:i/>
                <w:iCs/>
              </w:rPr>
              <w:t xml:space="preserve">User pay</w:t>
            </w:r>
            <w:r>
              <w:t xml:space="preserve">: tarif air curah dibayar PDAM/pemda pengguna.</w:t>
            </w:r>
          </w:p>
        </w:tc>
      </w:tr>
      <w:tr>
        <w:tc>
          <w:tcPr/>
          <w:p>
            <w:pPr>
              <w:pStyle w:val="Compact"/>
            </w:pPr>
            <w:r>
              <w:t xml:space="preserve">4</w:t>
            </w:r>
          </w:p>
        </w:tc>
        <w:tc>
          <w:tcPr/>
          <w:p>
            <w:pPr>
              <w:pStyle w:val="Compact"/>
            </w:pPr>
            <w:r>
              <w:t xml:space="preserve">Dukungan pemerintah</w:t>
            </w:r>
          </w:p>
        </w:tc>
        <w:tc>
          <w:tcPr/>
          <w:p>
            <w:pPr>
              <w:pStyle w:val="Compact"/>
            </w:pPr>
            <w:r>
              <w:t xml:space="preserve">Dukungan kelayakan sekitar Rp818 miliar (indikatif, Kemenkeu, diakses 2026) plus penjaminan infrastruktur dari PT PII.</w:t>
            </w:r>
          </w:p>
        </w:tc>
      </w:tr>
      <w:tr>
        <w:tc>
          <w:tcPr/>
          <w:p>
            <w:pPr>
              <w:pStyle w:val="Compact"/>
            </w:pPr>
            <w:r>
              <w:t xml:space="preserve">5</w:t>
            </w:r>
          </w:p>
        </w:tc>
        <w:tc>
          <w:tcPr/>
          <w:p>
            <w:pPr>
              <w:pStyle w:val="Compact"/>
            </w:pPr>
            <w:r>
              <w:t xml:space="preserve">Dasar</w:t>
            </w:r>
            <w:r>
              <w:t xml:space="preserve"> </w:t>
            </w:r>
            <w:r>
              <w:rPr>
                <w:i/>
                <w:iCs/>
              </w:rPr>
              <w:t xml:space="preserve">value for money</w:t>
            </w:r>
          </w:p>
        </w:tc>
        <w:tc>
          <w:tcPr/>
          <w:p>
            <w:pPr>
              <w:pStyle w:val="Compact"/>
            </w:pPr>
            <w:r>
              <w:t xml:space="preserve">EIRR 12,28%; ENPV sekitar Rp1,41 triliun (Simpul KPBU Kementerian PU, diakses 2026).</w:t>
            </w:r>
          </w:p>
        </w:tc>
      </w:tr>
      <w:tr>
        <w:tc>
          <w:tcPr/>
          <w:p>
            <w:pPr>
              <w:pStyle w:val="Compact"/>
            </w:pPr>
            <w:r>
              <w:t xml:space="preserve">6</w:t>
            </w:r>
          </w:p>
        </w:tc>
        <w:tc>
          <w:tcPr/>
          <w:p>
            <w:pPr>
              <w:pStyle w:val="Compact"/>
            </w:pPr>
            <w:r>
              <w:t xml:space="preserve">Status faktual</w:t>
            </w:r>
          </w:p>
        </w:tc>
        <w:tc>
          <w:tcPr/>
          <w:p>
            <w:pPr>
              <w:pStyle w:val="Compact"/>
            </w:pPr>
            <w:r>
              <w:t xml:space="preserve">Operasi komersial 22 Maret 2021, saat itu pada sekitar 20% kapasitas desain; konsesi sekitar 25 tahun sejak tanggal itu.</w:t>
            </w:r>
          </w:p>
        </w:tc>
      </w:tr>
      <w:tr>
        <w:tc>
          <w:tcPr/>
          <w:p>
            <w:pPr>
              <w:pStyle w:val="Compact"/>
            </w:pPr>
            <w:r>
              <w:t xml:space="preserve">7</w:t>
            </w:r>
          </w:p>
        </w:tc>
        <w:tc>
          <w:tcPr/>
          <w:p>
            <w:pPr>
              <w:pStyle w:val="Compact"/>
            </w:pPr>
            <w:r>
              <w:t xml:space="preserve">Dokumen primer</w:t>
            </w:r>
          </w:p>
        </w:tc>
        <w:tc>
          <w:tcPr/>
          <w:p>
            <w:pPr>
              <w:pStyle w:val="Compact"/>
            </w:pPr>
            <w:hyperlink r:id="rId22">
              <w:r>
                <w:rPr>
                  <w:rStyle w:val="Hyperlink"/>
                </w:rPr>
                <w:t xml:space="preserve">Portal KPBU Kemenkeu</w:t>
              </w:r>
            </w:hyperlink>
            <w:r>
              <w:t xml:space="preserve">; Simpul KPBU Kementerian PU (diakses 2026).</w:t>
            </w:r>
          </w:p>
        </w:tc>
      </w:tr>
    </w:tbl>
    <w:p>
      <w:pPr>
        <w:pStyle w:val="BodyText"/>
      </w:pPr>
      <w:r>
        <w:t xml:space="preserve">Konstruksi berjalan April 2017 sampai Maret 2021. Yang jarang masuk ringkasan: gagasannya jauh lebih tua dari kontraknya. Publikasi Kementerian Koordinator Bidang Perekonomian (sekitar 2020–2021) menyebut proyek ini direncanakan kira-kira 43 tahun sebelum siap beroperasi, angka yang sebaiknya dibaca sebagai perkiraan gestasi, bukan bilangan pasti.</w:t>
      </w:r>
    </w:p>
    <w:bookmarkEnd w:id="23"/>
    <w:bookmarkStart w:id="25" w:name="X8f98aa9bced87c4ce096d7a5800cb62db5c6c21"/>
    <w:p>
      <w:pPr>
        <w:pStyle w:val="Heading2"/>
      </w:pPr>
      <w:r>
        <w:t xml:space="preserve">Di mana mencari dokumen studi kasus KPBU yang bisa dipercaya?</w:t>
      </w:r>
    </w:p>
    <w:p>
      <w:pPr>
        <w:pStyle w:val="FirstParagraph"/>
      </w:pPr>
      <w:r>
        <w:t xml:space="preserve">Dahulukan sumber primer pemerintah: portal KPBU Kementerian Keuangan dan Simpul KPBU Kementerian PU untuk data proyek, JDIH Kementerian PPN/Bappenas untuk teks regulasi. Media kredibel berguna untuk kronologi dan kondisi lapangan, tetapi bukan rujukan utama untuk angka investasi. Catat selalu tanggal aksesnya.</w:t>
      </w:r>
    </w:p>
    <w:p>
      <w:pPr>
        <w:pStyle w:val="Compact"/>
        <w:numPr>
          <w:ilvl w:val="0"/>
          <w:numId w:val="1002"/>
        </w:numPr>
      </w:pPr>
      <w:r>
        <w:rPr>
          <w:b/>
          <w:bCs/>
        </w:rPr>
        <w:t xml:space="preserve">Portal KPBU Kementerian Keuangan</w:t>
      </w:r>
      <w:r>
        <w:t xml:space="preserve">: halaman per proyek memuat PJPK, Capex, skema pengembalian, dan status, plus definisi resmi</w:t>
      </w:r>
      <w:r>
        <w:t xml:space="preserve"> </w:t>
      </w:r>
      <w:hyperlink r:id="rId24">
        <w:r>
          <w:rPr>
            <w:rStyle w:val="Hyperlink"/>
          </w:rPr>
          <w:t xml:space="preserve">dukungan kelayakan</w:t>
        </w:r>
      </w:hyperlink>
      <w:r>
        <w:t xml:space="preserve">.</w:t>
      </w:r>
    </w:p>
    <w:p>
      <w:pPr>
        <w:pStyle w:val="Compact"/>
        <w:numPr>
          <w:ilvl w:val="0"/>
          <w:numId w:val="1002"/>
        </w:numPr>
      </w:pPr>
      <w:r>
        <w:rPr>
          <w:b/>
          <w:bCs/>
        </w:rPr>
        <w:t xml:space="preserve">Simpul KPBU Kementerian PU</w:t>
      </w:r>
      <w:r>
        <w:t xml:space="preserve">: sudut pandang kementerian teknis, berguna sebagai pembanding independen.</w:t>
      </w:r>
    </w:p>
    <w:p>
      <w:pPr>
        <w:pStyle w:val="Compact"/>
        <w:numPr>
          <w:ilvl w:val="0"/>
          <w:numId w:val="1002"/>
        </w:numPr>
      </w:pPr>
      <w:r>
        <w:rPr>
          <w:b/>
          <w:bCs/>
        </w:rPr>
        <w:t xml:space="preserve">JDIH Kementerian PPN/Bappenas</w:t>
      </w:r>
      <w:r>
        <w:t xml:space="preserve">: teks resmi peraturan, bukan ringkasan pihak ketiga.</w:t>
      </w:r>
    </w:p>
    <w:p>
      <w:pPr>
        <w:pStyle w:val="Compact"/>
        <w:numPr>
          <w:ilvl w:val="0"/>
          <w:numId w:val="1002"/>
        </w:numPr>
      </w:pPr>
      <w:r>
        <w:rPr>
          <w:b/>
          <w:bCs/>
        </w:rPr>
        <w:t xml:space="preserve">PPP Knowledge Lab Bank Dunia</w:t>
      </w:r>
      <w:r>
        <w:t xml:space="preserve">: kerangka pembacaan struktur PPP internasional.</w:t>
      </w:r>
    </w:p>
    <w:p>
      <w:pPr>
        <w:pStyle w:val="FirstParagraph"/>
      </w:pPr>
      <w:r>
        <w:t xml:space="preserve">Satu kebiasaan kecil membedakan analis dari peringkas berita: mencatat tanggal akses, karena laman proyek diperbarui tanpa riwayat versi. E-library IIGF Institute, unit manajemen pengetahuan PT PII, juga menerbitkan studi kasus KPBU yang disusun dari dokumen primer.</w:t>
      </w:r>
    </w:p>
    <w:bookmarkEnd w:id="25"/>
    <w:bookmarkStart w:id="27" w:name="X96ded522a7e12a4117c3a40d3af0e990f71b3e5"/>
    <w:p>
      <w:pPr>
        <w:pStyle w:val="Heading2"/>
      </w:pPr>
      <w:r>
        <w:t xml:space="preserve">Kesalahan paling umum: menyimpulkan</w:t>
      </w:r>
      <w:r>
        <w:t xml:space="preserve"> </w:t>
      </w:r>
      <w:r>
        <w:t xml:space="preserve">“berhasil”</w:t>
      </w:r>
      <w:r>
        <w:t xml:space="preserve"> </w:t>
      </w:r>
      <w:r>
        <w:t xml:space="preserve">dari satu foto peresmian</w:t>
      </w:r>
    </w:p>
    <w:p>
      <w:pPr>
        <w:pStyle w:val="FirstParagraph"/>
      </w:pPr>
      <w:r>
        <w:t xml:space="preserve">Peresmian membuktikan konstruksi selesai, bukan bahwa skemanya bekerja. SPAM Umbulan diresmikan 22 Maret 2021, namun saat itu baru mengalirkan sekitar 900 dari kapasitas desain 4.000 liter per detik, sekitar 20 persen, karena jaringan distribusi akhir ke rumah tangga belum rampung (Kompas.com, 22 Maret 2021).</w:t>
      </w:r>
    </w:p>
    <w:p>
      <w:pPr>
        <w:pStyle w:val="BodyText"/>
      </w:pPr>
      <w:r>
        <w:t xml:space="preserve">Pemanfaatannya naik bertahap ke kisaran 3.000 liter per detik pada 2024 menurut pemberitaan lokal, sebelum sempat anjlok akibat banjir; laporan itu belum tersilang ke sumber pemerintah.</w:t>
      </w:r>
    </w:p>
    <w:p>
      <w:pPr>
        <w:pStyle w:val="BodyText"/>
      </w:pPr>
      <w:r>
        <w:t xml:space="preserve">Tekanan finansial pun tidak selalu terlihat dari luar.</w:t>
      </w:r>
    </w:p>
    <w:p>
      <w:pPr>
        <w:pStyle w:val="BodyText"/>
      </w:pPr>
      <w:r>
        <w:t xml:space="preserve">Badan usaha pelaksana SPAM Umbulan sempat dimohonkan PKPU (penundaan kewajiban pembayaran utang) oleh dua kreditor pada Oktober 2019, di tengah masa konstruksi, dengan nilai klaim gabungan sekitar Rp25,4 miliar (indikatif, menurut pemberitaan media saat itu). Hasil akhir perkara itu tidak terverifikasi dalam riset artikel ini.</w:t>
      </w:r>
    </w:p>
    <w:p>
      <w:pPr>
        <w:pStyle w:val="BodyText"/>
      </w:pPr>
      <w:r>
        <w:t xml:space="preserve">Persoalan berikutnya lebih mendasar: angka investasi kerap berbeda antar sumber, termasuk antar portal pemerintah sendiri.</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Proyek dan metrik</w:t>
            </w:r>
          </w:p>
        </w:tc>
        <w:tc>
          <w:tcPr/>
          <w:p>
            <w:pPr>
              <w:pStyle w:val="Compact"/>
            </w:pPr>
            <w:r>
              <w:t xml:space="preserve">Angka dilaporkan (indikatif)</w:t>
            </w:r>
          </w:p>
        </w:tc>
        <w:tc>
          <w:tcPr/>
          <w:p>
            <w:pPr>
              <w:pStyle w:val="Compact"/>
            </w:pPr>
            <w:r>
              <w:t xml:space="preserve">Sumber, akses/terbit</w:t>
            </w:r>
          </w:p>
        </w:tc>
      </w:tr>
      <w:tr>
        <w:tc>
          <w:tcPr/>
          <w:p>
            <w:pPr>
              <w:pStyle w:val="Compact"/>
            </w:pPr>
            <w:r>
              <w:t xml:space="preserve">SPAM Umbulan, nilai investasi</w:t>
            </w:r>
          </w:p>
        </w:tc>
        <w:tc>
          <w:tcPr/>
          <w:p>
            <w:pPr>
              <w:pStyle w:val="Compact"/>
            </w:pPr>
            <w:r>
              <w:t xml:space="preserve">Rp2,05 triliun</w:t>
            </w:r>
          </w:p>
        </w:tc>
        <w:tc>
          <w:tcPr/>
          <w:p>
            <w:pPr>
              <w:pStyle w:val="Compact"/>
            </w:pPr>
            <w:r>
              <w:t xml:space="preserve">Kompas.com, 22 Mar 2021</w:t>
            </w:r>
          </w:p>
        </w:tc>
      </w:tr>
      <w:tr>
        <w:tc>
          <w:tcPr/>
          <w:p>
            <w:pPr>
              <w:pStyle w:val="Compact"/>
            </w:pPr>
            <w:r>
              <w:t xml:space="preserve">SPAM Umbulan, Capex</w:t>
            </w:r>
          </w:p>
        </w:tc>
        <w:tc>
          <w:tcPr/>
          <w:p>
            <w:pPr>
              <w:pStyle w:val="Compact"/>
            </w:pPr>
            <w:r>
              <w:t xml:space="preserve">Rp2,39 triliun</w:t>
            </w:r>
          </w:p>
        </w:tc>
        <w:tc>
          <w:tcPr/>
          <w:p>
            <w:pPr>
              <w:pStyle w:val="Compact"/>
            </w:pPr>
            <w:r>
              <w:t xml:space="preserve">Kemenkeu, 12 Agu 2026</w:t>
            </w:r>
          </w:p>
        </w:tc>
      </w:tr>
      <w:tr>
        <w:tc>
          <w:tcPr/>
          <w:p>
            <w:pPr>
              <w:pStyle w:val="Compact"/>
            </w:pPr>
            <w:r>
              <w:t xml:space="preserve">SPAM Umbulan, indikasi investasi</w:t>
            </w:r>
          </w:p>
        </w:tc>
        <w:tc>
          <w:tcPr/>
          <w:p>
            <w:pPr>
              <w:pStyle w:val="Compact"/>
            </w:pPr>
            <w:r>
              <w:t xml:space="preserve">Rp2,58 triliun</w:t>
            </w:r>
          </w:p>
        </w:tc>
        <w:tc>
          <w:tcPr/>
          <w:p>
            <w:pPr>
              <w:pStyle w:val="Compact"/>
            </w:pPr>
            <w:r>
              <w:t xml:space="preserve">Kementerian PU, 12 Agu 2026</w:t>
            </w:r>
          </w:p>
        </w:tc>
      </w:tr>
      <w:tr>
        <w:tc>
          <w:tcPr/>
          <w:p>
            <w:pPr>
              <w:pStyle w:val="Compact"/>
            </w:pPr>
            <w:r>
              <w:t xml:space="preserve">SPAM Umbulan, total proyek</w:t>
            </w:r>
          </w:p>
        </w:tc>
        <w:tc>
          <w:tcPr/>
          <w:p>
            <w:pPr>
              <w:pStyle w:val="Compact"/>
            </w:pPr>
            <w:r>
              <w:t xml:space="preserve">Rp4,51 triliun</w:t>
            </w:r>
          </w:p>
        </w:tc>
        <w:tc>
          <w:tcPr/>
          <w:p>
            <w:pPr>
              <w:pStyle w:val="Compact"/>
            </w:pPr>
            <w:r>
              <w:t xml:space="preserve">Dokumen MoU, laman Pemkab Pasuruan (tanpa tahun)</w:t>
            </w:r>
          </w:p>
        </w:tc>
      </w:tr>
      <w:tr>
        <w:tc>
          <w:tcPr/>
          <w:p>
            <w:pPr>
              <w:pStyle w:val="Compact"/>
            </w:pPr>
            <w:r>
              <w:t xml:space="preserve">Tol Krian–Legundi–Bunder–Manyar, Capex</w:t>
            </w:r>
          </w:p>
        </w:tc>
        <w:tc>
          <w:tcPr/>
          <w:p>
            <w:pPr>
              <w:pStyle w:val="Compact"/>
            </w:pPr>
            <w:r>
              <w:t xml:space="preserve">Rp9,02 triliun vs Rp12,93 triliun</w:t>
            </w:r>
          </w:p>
        </w:tc>
        <w:tc>
          <w:tcPr/>
          <w:p>
            <w:pPr>
              <w:pStyle w:val="Compact"/>
            </w:pPr>
            <w:r>
              <w:t xml:space="preserve">Kemenkeu vs Kementerian PU, 12 Agu 2026</w:t>
            </w:r>
          </w:p>
        </w:tc>
      </w:tr>
      <w:tr>
        <w:tc>
          <w:tcPr/>
          <w:p>
            <w:pPr>
              <w:pStyle w:val="Compact"/>
            </w:pPr>
            <w:r>
              <w:t xml:space="preserve">Tol Krian–Legundi–Bunder–Manyar, konsesi</w:t>
            </w:r>
          </w:p>
        </w:tc>
        <w:tc>
          <w:tcPr/>
          <w:p>
            <w:pPr>
              <w:pStyle w:val="Compact"/>
            </w:pPr>
            <w:r>
              <w:t xml:space="preserve">40 tahun vs 50 tahun</w:t>
            </w:r>
          </w:p>
        </w:tc>
        <w:tc>
          <w:tcPr/>
          <w:p>
            <w:pPr>
              <w:pStyle w:val="Compact"/>
            </w:pPr>
            <w:r>
              <w:t xml:space="preserve">Kemenkeu vs Kementerian PU, 12 Agu 2026</w:t>
            </w:r>
          </w:p>
        </w:tc>
      </w:tr>
    </w:tbl>
    <w:p>
      <w:pPr>
        <w:pStyle w:val="BodyText"/>
      </w:pPr>
      <w:r>
        <w:t xml:space="preserve">Selisih itu belum tentu berarti ada sumber yang keliru. Hipotesis paling masuk akal adalah beda cakupan: angka kecil merepresentasikan kontrak KPBU inti, angka besar mencakup jaringan distribusi yang dibangun terpisah oleh pemerintah daerah. Tidak satu pun sumber di atas menyatakan rekonsiliasi itu, sehingga penjelasan tersebut tetap dugaan. Menahan diri untuk tidak diam-diam memilih satu angka adalah bagian dari</w:t>
      </w:r>
      <w:r>
        <w:t xml:space="preserve"> </w:t>
      </w:r>
      <w:hyperlink r:id="rId26">
        <w:r>
          <w:rPr>
            <w:rStyle w:val="Hyperlink"/>
          </w:rPr>
          <w:t xml:space="preserve">capacity building pembiayaan kreatif</w:t>
        </w:r>
      </w:hyperlink>
      <w:r>
        <w:t xml:space="preserve"> </w:t>
      </w:r>
      <w:r>
        <w:t xml:space="preserve">yang dibutuhkan tim penyiapan proyek di daerah.</w:t>
      </w:r>
    </w:p>
    <w:bookmarkEnd w:id="27"/>
    <w:bookmarkStart w:id="34" w:name="faq-pertanyaan-yang-sering-diajukan"/>
    <w:p>
      <w:pPr>
        <w:pStyle w:val="Heading2"/>
      </w:pPr>
      <w:r>
        <w:t xml:space="preserve">FAQ (Pertanyaan yang Sering Diajukan)</w:t>
      </w:r>
    </w:p>
    <w:bookmarkStart w:id="28" w:name="apa-itu-studi-kasus-proyek-kpbu"/>
    <w:p>
      <w:pPr>
        <w:pStyle w:val="Heading3"/>
      </w:pPr>
      <w:r>
        <w:t xml:space="preserve">Apa itu studi kasus proyek KPBU?</w:t>
      </w:r>
    </w:p>
    <w:p>
      <w:pPr>
        <w:pStyle w:val="FirstParagraph"/>
      </w:pPr>
      <w:r>
        <w:t xml:space="preserve">Studi kasus proyek KPBU adalah dokumen analitis yang membedah satu proyek Kerja Sama Pemerintah dengan Badan Usaha: struktur transaksi, pembagian risiko, mekanisme pengembalian investasi, dukungan pemerintah, dan hasil aktualnya. Berbeda dari berita proyek, ia merujuk dokumen primer sehingga kesimpulannya dapat diverifikasi ulang.</w:t>
      </w:r>
    </w:p>
    <w:bookmarkEnd w:id="28"/>
    <w:bookmarkStart w:id="29" w:name="X97393adf3738130dbefeb6d81c9511a5c243d74"/>
    <w:p>
      <w:pPr>
        <w:pStyle w:val="Heading3"/>
      </w:pPr>
      <w:r>
        <w:t xml:space="preserve">Apa saja tahapan proyek KPBU di Indonesia?</w:t>
      </w:r>
    </w:p>
    <w:p>
      <w:pPr>
        <w:pStyle w:val="FirstParagraph"/>
      </w:pPr>
      <w:r>
        <w:t xml:space="preserve">Kerangka Kementerian PPN/Bappenas membagi proyek KPBU ke tiga tahap: perencanaan, penyiapan, dan transaksi. Penyiapan mencakup prastudi kelayakan serta perhitungan FIRR, EIRR, dan DSCR. Permen PPN/Bappenas Nomor 7 Tahun 2023 menyederhanakan cakupan prastudi kelayakan menjadi lima kajian; teks resminya sebaiknya dicek ke JDIH Bappenas.</w:t>
      </w:r>
    </w:p>
    <w:bookmarkEnd w:id="29"/>
    <w:bookmarkStart w:id="30" w:name="apa-kepanjangan-pjpk"/>
    <w:p>
      <w:pPr>
        <w:pStyle w:val="Heading3"/>
      </w:pPr>
      <w:r>
        <w:t xml:space="preserve">Apa kepanjangan PJPK?</w:t>
      </w:r>
    </w:p>
    <w:p>
      <w:pPr>
        <w:pStyle w:val="FirstParagraph"/>
      </w:pPr>
      <w:r>
        <w:t xml:space="preserve">PJPK adalah Penanggung Jawab Proyek Kerja Sama: instansi pemerintah, misalnya kementerian, gubernur, atau bupati/wali kota, yang menyiapkan proyek, menandatangani perjanjian kerja sama, dan mengawasi pelaksanaannya. Pada SPAM Umbulan, PJPK dijabat Gubernur Provinsi Jawa Timur; pada jalan tol, umumnya Kementerian PU.</w:t>
      </w:r>
    </w:p>
    <w:bookmarkEnd w:id="30"/>
    <w:bookmarkStart w:id="31" w:name="Xc03696207e5f0c3d1878544c0375c783cf2048d"/>
    <w:p>
      <w:pPr>
        <w:pStyle w:val="Heading3"/>
      </w:pPr>
      <w:r>
        <w:t xml:space="preserve">Apa bedanya availability payment dan user pay?</w:t>
      </w:r>
    </w:p>
    <w:p>
      <w:pPr>
        <w:pStyle w:val="FirstParagraph"/>
      </w:pPr>
      <w:r>
        <w:t xml:space="preserve">Pada</w:t>
      </w:r>
      <w:r>
        <w:t xml:space="preserve"> </w:t>
      </w:r>
      <w:r>
        <w:rPr>
          <w:i/>
          <w:iCs/>
        </w:rPr>
        <w:t xml:space="preserve">user pay</w:t>
      </w:r>
      <w:r>
        <w:t xml:space="preserve">, badan usaha pelaksana memperoleh pengembalian investasi dari tarif yang dibayar pengguna, misalnya tarif air curah SPAM Umbulan. Pada</w:t>
      </w:r>
      <w:r>
        <w:t xml:space="preserve"> </w:t>
      </w:r>
      <w:r>
        <w:rPr>
          <w:i/>
          <w:iCs/>
        </w:rPr>
        <w:t xml:space="preserve">availability payment</w:t>
      </w:r>
      <w:r>
        <w:t xml:space="preserve">, PJPK membayar berkala sepanjang layanan memenuhi kriteria ketersediaan, sehingga risiko pendapatan berpindah ke pemerintah (Kementerian Keuangan, diakses 2026).</w:t>
      </w:r>
    </w:p>
    <w:bookmarkEnd w:id="31"/>
    <w:bookmarkStart w:id="32" w:name="Xbb5d4f090324889e71c0eb91f0a7f72f0fde383"/>
    <w:p>
      <w:pPr>
        <w:pStyle w:val="Heading3"/>
      </w:pPr>
      <w:r>
        <w:t xml:space="preserve">Apa itu dukungan kelayakan atau viability gap fund?</w:t>
      </w:r>
    </w:p>
    <w:p>
      <w:pPr>
        <w:pStyle w:val="FirstParagraph"/>
      </w:pPr>
      <w:r>
        <w:t xml:space="preserve">Dukungan kelayakan (</w:t>
      </w:r>
      <w:r>
        <w:rPr>
          <w:i/>
          <w:iCs/>
        </w:rPr>
        <w:t xml:space="preserve">viability gap fund</w:t>
      </w:r>
      <w:r>
        <w:t xml:space="preserve">/VGF) adalah kontribusi tunai pemerintah atas sebagian biaya konstruksi bagi proyek yang layak secara ekonomi tetapi belum layak finansial. Kementerian Keuangan mensyaratkan, antara lain, nilai investasi minimum Rp100 miliar. SPAM Umbulan tercatat menerima sekitar Rp818 miliar (indikatif, portal KPBU Kemenkeu, diakses 2026).</w:t>
      </w:r>
    </w:p>
    <w:bookmarkEnd w:id="32"/>
    <w:bookmarkStart w:id="33" w:name="Xae74c5146a2a75fe3ea6dd018df8a090a298f08"/>
    <w:p>
      <w:pPr>
        <w:pStyle w:val="Heading3"/>
      </w:pPr>
      <w:r>
        <w:t xml:space="preserve">Di mana daftar resmi proyek KPBU di Indonesia bisa dilihat?</w:t>
      </w:r>
    </w:p>
    <w:p>
      <w:pPr>
        <w:pStyle w:val="FirstParagraph"/>
      </w:pPr>
      <w:r>
        <w:t xml:space="preserve">Rujukan paling otoritatif adalah portal KPBU Kementerian Keuangan dan Simpul KPBU Kementerian PU, yang memuat nilai investasi, PJPK, dan status tiap proyek. Untuk dasar hukum, rujuk JDIH Kementerian PPN/Bappenas. Bandingkan keduanya, karena selisih angka untuk proyek yang sama bukan hal langka.</w:t>
      </w:r>
    </w:p>
    <w:bookmarkEnd w:id="33"/>
    <w:bookmarkEnd w:id="34"/>
    <w:bookmarkStart w:id="35" w:name="kesimpulan"/>
    <w:p>
      <w:pPr>
        <w:pStyle w:val="Heading2"/>
      </w:pPr>
      <w:r>
        <w:t xml:space="preserve">Kesimpulan</w:t>
      </w:r>
    </w:p>
    <w:p>
      <w:pPr>
        <w:pStyle w:val="FirstParagraph"/>
      </w:pPr>
      <w:r>
        <w:t xml:space="preserve">Kembali ke perintah di awal. Instruksi</w:t>
      </w:r>
      <w:r>
        <w:t xml:space="preserve"> </w:t>
      </w:r>
      <w:r>
        <w:t xml:space="preserve">“pelajari studi kasus proyek yang sudah jalan”</w:t>
      </w:r>
      <w:r>
        <w:t xml:space="preserve"> </w:t>
      </w:r>
      <w:r>
        <w:t xml:space="preserve">baru berguna jika pembacanya tahu tujuh hal apa yang harus ditarik, dan cukup disiplin menuliskan sumber serta tahun di sebelah setiap angka. Studi kasus proyek infrastruktur di Indonesia yang baik tidak menjual kesimpulan, melainkan menunjukkan jalan menuju kesimpulan agar orang lain bisa mengujinya. Lewat tiga pilarnya (edukasi, riset, dan advokasi kebijakan), IIGF Institute memperkuat basis pengetahuan KPBU di Indonesia. Journal of Infrastructure Policy and Management (JIPM), jurnal multidisiplin ber-</w:t>
      </w:r>
      <w:r>
        <w:rPr>
          <w:i/>
          <w:iCs/>
        </w:rPr>
        <w:t xml:space="preserve">peer-review double-blind</w:t>
      </w:r>
      <w:r>
        <w:t xml:space="preserve"> </w:t>
      </w:r>
      <w:r>
        <w:t xml:space="preserve">terbitannya, terbuka bagi analisis kasus yang disusun dengan disiplin serupa.</w:t>
      </w:r>
    </w:p>
    <w:p>
      <w:pPr>
        <w:pStyle w:val="BodyText"/>
      </w:pPr>
      <w:r>
        <w:t xml:space="preserve">Kumpulan kajian, studi kasus, dan kanal publikasi KPBU dapat Anda telusuri di institute.iigf.co.id.</w:t>
      </w:r>
    </w:p>
    <w:bookmarkEnd w:id="35"/>
    <w:bookmarkEnd w:id="36"/>
    <w:sectPr>
      <w:pgSz w:h="16834" w:orient="portrait" w:w="11909"/>
      <w:pgMar w:bottom="1440" w:footer="720" w:header="720" w:left="1440" w:right="1440" w:top="1440"/>
      <w:pgNumType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abstractNum w:abstractNumId="1">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2">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3">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rFonts w:ascii="Arial" w:cs="Arial" w:eastAsia="Arial" w:hAnsi="Arial"/>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4">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5">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1"/>
  </w:num>
  <w:num w:numId="2">
    <w:abstractNumId w:val="2"/>
  </w:num>
  <w:num w:numId="3">
    <w:abstractNumId w:val="3"/>
  </w:num>
  <w:num w:numId="4">
    <w:abstractNumId w:val="4"/>
  </w:num>
  <w:num w:numId="5">
    <w:abstractNumId w:val="5"/>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TrueTypeFonts w:val="1"/>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docDefaults>
    <w:rPrDefault>
      <w:rPr>
        <w:rFonts w:ascii="Arial" w:cs="Arial" w:eastAsia="Arial" w:hAnsi="Arial"/>
        <w:sz w:val="22"/>
        <w:szCs w:val="22"/>
        <w:lang w:val="en_GB"/>
      </w:rPr>
    </w:rPrDefault>
    <w:pPrDefault>
      <w:pPr>
        <w:spacing w:line="276" w:lineRule="auto"/>
      </w:pPr>
    </w:pPrDefault>
  </w:docDefaults>
  <w:style w:default="1" w:styleId="TableNormal" w:type="table">
    <w:name w:val="TableNormal"/>
    <w:tblPr>
      <w:tblCellMar>
        <w:top w:type="dxa" w:w="100.0"/>
        <w:left w:type="dxa" w:w="100.0"/>
        <w:bottom w:type="dxa" w:w="100.0"/>
        <w:right w:type="dxa" w:w="100.0"/>
      </w:tblCellMar>
    </w:tblPr>
  </w:style>
  <w:style w:default="1" w:styleId="Normal" w:type="paragraph">
    <w:name w:val="normal"/>
  </w:style>
  <w:style w:styleId="Heading1" w:type="paragraph">
    <w:name w:val="heading 1"/>
    <w:basedOn w:val="Normal"/>
    <w:next w:val="Normal"/>
    <w:pPr>
      <w:keepNext w:val="1"/>
      <w:keepLines w:val="1"/>
      <w:pageBreakBefore w:val="0"/>
      <w:spacing w:after="120" w:before="400" w:lineRule="auto"/>
    </w:pPr>
    <w:rPr>
      <w:sz w:val="40"/>
      <w:szCs w:val="40"/>
    </w:rPr>
  </w:style>
  <w:style w:styleId="Heading2" w:type="paragraph">
    <w:name w:val="heading 2"/>
    <w:basedOn w:val="Normal"/>
    <w:next w:val="Normal"/>
    <w:pPr>
      <w:keepNext w:val="1"/>
      <w:keepLines w:val="1"/>
      <w:pageBreakBefore w:val="0"/>
      <w:spacing w:after="120" w:before="360" w:lineRule="auto"/>
    </w:pPr>
    <w:rPr>
      <w:b w:val="0"/>
      <w:bCs w:val="0"/>
      <w:sz w:val="32"/>
      <w:szCs w:val="32"/>
    </w:rPr>
  </w:style>
  <w:style w:styleId="Heading3" w:type="paragraph">
    <w:name w:val="heading 3"/>
    <w:basedOn w:val="Normal"/>
    <w:next w:val="Normal"/>
    <w:pPr>
      <w:keepNext w:val="1"/>
      <w:keepLines w:val="1"/>
      <w:pageBreakBefore w:val="0"/>
      <w:spacing w:after="80" w:before="320" w:lineRule="auto"/>
    </w:pPr>
    <w:rPr>
      <w:b w:val="0"/>
      <w:bCs w:val="0"/>
      <w:color w:val="434343"/>
      <w:sz w:val="28"/>
      <w:szCs w:val="28"/>
    </w:rPr>
  </w:style>
  <w:style w:styleId="Heading4" w:type="paragraph">
    <w:name w:val="heading 4"/>
    <w:basedOn w:val="Normal"/>
    <w:next w:val="Normal"/>
    <w:pPr>
      <w:keepNext w:val="1"/>
      <w:keepLines w:val="1"/>
      <w:pageBreakBefore w:val="0"/>
      <w:spacing w:after="80" w:before="280" w:lineRule="auto"/>
    </w:pPr>
    <w:rPr>
      <w:color w:val="666666"/>
      <w:sz w:val="24"/>
      <w:szCs w:val="24"/>
    </w:rPr>
  </w:style>
  <w:style w:styleId="Heading5" w:type="paragraph">
    <w:name w:val="heading 5"/>
    <w:basedOn w:val="Normal"/>
    <w:next w:val="Normal"/>
    <w:pPr>
      <w:keepNext w:val="1"/>
      <w:keepLines w:val="1"/>
      <w:pageBreakBefore w:val="0"/>
      <w:spacing w:after="80" w:before="240" w:lineRule="auto"/>
    </w:pPr>
    <w:rPr>
      <w:color w:val="666666"/>
      <w:sz w:val="22"/>
      <w:szCs w:val="22"/>
    </w:rPr>
  </w:style>
  <w:style w:styleId="Heading6" w:type="paragraph">
    <w:name w:val="heading 6"/>
    <w:basedOn w:val="Normal"/>
    <w:next w:val="Normal"/>
    <w:pPr>
      <w:keepNext w:val="1"/>
      <w:keepLines w:val="1"/>
      <w:pageBreakBefore w:val="0"/>
      <w:spacing w:after="80" w:before="240" w:lineRule="auto"/>
    </w:pPr>
    <w:rPr>
      <w:i w:val="1"/>
      <w:iCs w:val="1"/>
      <w:color w:val="666666"/>
      <w:sz w:val="22"/>
      <w:szCs w:val="22"/>
    </w:rPr>
  </w:style>
  <w:style w:styleId="Title" w:type="paragraph">
    <w:name w:val="Title"/>
    <w:basedOn w:val="Normal"/>
    <w:next w:val="Normal"/>
    <w:pPr>
      <w:keepNext w:val="1"/>
      <w:keepLines w:val="1"/>
      <w:pageBreakBefore w:val="0"/>
      <w:spacing w:after="60" w:before="0" w:lineRule="auto"/>
    </w:pPr>
    <w:rPr>
      <w:sz w:val="52"/>
      <w:szCs w:val="52"/>
    </w:rPr>
  </w:style>
  <w:style w:styleId="Subtitle" w:type="paragraph">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styleId="Table1" w:type="table">
    <w:basedOn w:val="TableNormal"/>
    <w:tblPr>
      <w:tblStyleRowBandSize w:val="1"/>
      <w:tblStyleColBandSize w:val="1"/>
      <w:tblCellMar/>
    </w:tblPr>
  </w:style>
  <w:style w:styleId="Table2" w:type="table">
    <w:basedOn w:val="TableNormal"/>
    <w:tblPr>
      <w:tblStyleRowBandSize w:val="1"/>
      <w:tblStyleColBandSize w:val="1"/>
      <w:tblCellMar/>
    </w:tbl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 w:type="character" w:styleId="Hyperlink">
    <w:name w:val="Hyperlink"/>
    <w:rPr>
      <w:color w:val="0563C1"/>
      <w:u w:val="singl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5" Target="numbering.xml" /><Relationship Type="http://schemas.openxmlformats.org/officeDocument/2006/relationships/styles" Id="rId14" Target="styles.xml" /><Relationship Type="http://schemas.openxmlformats.org/officeDocument/2006/relationships/settings" Id="rId13" Target="settings.xml" /><Relationship Type="http://schemas.openxmlformats.org/officeDocument/2006/relationships/webSettings" Id="rId12" Target="webSettings.xml" /><Relationship Type="http://schemas.openxmlformats.org/officeDocument/2006/relationships/fontTable" Id="rId11" Target="fontTable.xml" /><Relationship Type="http://schemas.openxmlformats.org/officeDocument/2006/relationships/theme" Id="rId10" Target="theme/theme1.xml" /><Relationship Type="http://schemas.openxmlformats.org/officeDocument/2006/relationships/footnotes" Id="rId9" Target="footnotes.xml" /><Relationship Type="http://schemas.openxmlformats.org/officeDocument/2006/relationships/comments" Id="rId8" Target="comments.xml" /><Relationship Id="rId7" Target="media/image1.png" Type="http://schemas.openxmlformats.org/officeDocument/2006/relationships/image" /><Relationship Type="http://schemas.openxmlformats.org/officeDocument/2006/relationships/hyperlink" Id="rId20" Target="https://institute.iigf.co.id/" TargetMode="External" /><Relationship Type="http://schemas.openxmlformats.org/officeDocument/2006/relationships/hyperlink" Id="rId26" Target="https://institute.iigf.co.id/capacity-building" TargetMode="External" /><Relationship Type="http://schemas.openxmlformats.org/officeDocument/2006/relationships/hyperlink" Id="rId17" Target="https://institute.iigf.co.id/e-library/lainnya/77/studi-kasus-kpbu-untuk-penguatan-infrastruktur-digital-dan-informasi" TargetMode="External" /><Relationship Type="http://schemas.openxmlformats.org/officeDocument/2006/relationships/hyperlink" Id="rId22" Target="https://kpbu.kemenkeu.go.id/proyek/detail/81-sistem-penyediaan-air-minum-umbulan" TargetMode="External" /><Relationship Type="http://schemas.openxmlformats.org/officeDocument/2006/relationships/hyperlink" Id="rId24" Target="https://kpbu.kemenkeu.go.id/read/1098-1261/pjpk/dukungan-pemerintah/dukungan-kelayakan" TargetMode="External" /><Relationship Type="http://schemas.openxmlformats.org/officeDocument/2006/relationships/hyperlink" Id="rId19" Target="https://ppp.worldbank.org/public-private-partnership/ppp-knowledge-lab" TargetMode="External" /></Relationships>
</file>

<file path=word/_rels/footnotes.xml.rels><?xml version="1.0" encoding="UTF-8"?><Relationships xmlns="http://schemas.openxmlformats.org/package/2006/relationships"><Relationship Type="http://schemas.openxmlformats.org/officeDocument/2006/relationships/hyperlink" Id="rId20" Target="https://institute.iigf.co.id/" TargetMode="External" /><Relationship Type="http://schemas.openxmlformats.org/officeDocument/2006/relationships/hyperlink" Id="rId26" Target="https://institute.iigf.co.id/capacity-building" TargetMode="External" /><Relationship Type="http://schemas.openxmlformats.org/officeDocument/2006/relationships/hyperlink" Id="rId17" Target="https://institute.iigf.co.id/e-library/lainnya/77/studi-kasus-kpbu-untuk-penguatan-infrastruktur-digital-dan-informasi" TargetMode="External" /><Relationship Type="http://schemas.openxmlformats.org/officeDocument/2006/relationships/hyperlink" Id="rId22" Target="https://kpbu.kemenkeu.go.id/proyek/detail/81-sistem-penyediaan-air-minum-umbulan" TargetMode="External" /><Relationship Type="http://schemas.openxmlformats.org/officeDocument/2006/relationships/hyperlink" Id="rId24" Target="https://kpbu.kemenkeu.go.id/read/1098-1261/pjpk/dukungan-pemerintah/dukungan-kelayakan" TargetMode="External" /><Relationship Type="http://schemas.openxmlformats.org/officeDocument/2006/relationships/hyperlink" Id="rId19" Target="https://ppp.worldbank.org/public-private-partnership/ppp-knowledge-lab"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2026-08-12T08:53:01Z</dcterms:created>
  <dcterms:modified xsi:type="dcterms:W3CDTF">2026-08-12T08:53:01Z</dcterms:modified>
</cp:coreProperties>
</file>

<file path=docProps/custom.xml><?xml version="1.0" encoding="utf-8"?>
<Properties xmlns="http://schemas.openxmlformats.org/officeDocument/2006/custom-properties" xmlns:vt="http://schemas.openxmlformats.org/officeDocument/2006/docPropsVTypes"/>
</file>