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Empat Sektor, Empat Cara Uang Kembali"</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di Indonesia: 4 Sektor"</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lintas empat sektor: tol, air minum, sampah, kesehatan. Tabel mekanisme pengembalian investasi dan risikonya."</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"studi-kasus-proyek-infrastruktur-di-indonesia-4-sektor"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"studi kasus KPBU lintas sektor"</w:t>
      </w:r>
      <w:r>
        <w:rPr>
          <w:rStyle w:val="KeywordTok"/>
        </w:rPr>
        <w:t xml:space="preserve">,</w:t>
      </w:r>
      <w:r>
        <w:rPr>
          <w:rStyle w:val="AttributeTok"/>
        </w:rPr>
        <w:t xml:space="preserve"> </w:t>
      </w:r>
      <w:r>
        <w:rPr>
          <w:rStyle w:val="StringTok"/>
        </w:rPr>
        <w:t xml:space="preserve">"mekanisme pengembalian investasi KPBU"</w:t>
      </w:r>
      <w:r>
        <w:rPr>
          <w:rStyle w:val="KeywordTok"/>
        </w:rPr>
        <w:t xml:space="preserve">,</w:t>
      </w:r>
      <w:r>
        <w:rPr>
          <w:rStyle w:val="AttributeTok"/>
        </w:rPr>
        <w:t xml:space="preserve"> </w:t>
      </w:r>
      <w:r>
        <w:rPr>
          <w:rStyle w:val="StringTok"/>
        </w:rPr>
        <w:t xml:space="preserve">"availability payment"</w:t>
      </w:r>
      <w:r>
        <w:rPr>
          <w:rStyle w:val="KeywordTok"/>
        </w:rPr>
        <w:t xml:space="preserve">,</w:t>
      </w:r>
      <w:r>
        <w:rPr>
          <w:rStyle w:val="AttributeTok"/>
        </w:rPr>
        <w:t xml:space="preserve"> </w:t>
      </w:r>
      <w:r>
        <w:rPr>
          <w:rStyle w:val="StringTok"/>
        </w:rPr>
        <w:t xml:space="preserve">"user pay"</w:t>
      </w:r>
      <w:r>
        <w:rPr>
          <w:rStyle w:val="KeywordTok"/>
        </w:rPr>
        <w:t xml:space="preserve">,</w:t>
      </w:r>
      <w:r>
        <w:rPr>
          <w:rStyle w:val="AttributeTok"/>
        </w:rPr>
        <w:t xml:space="preserve"> </w:t>
      </w:r>
      <w:r>
        <w:rPr>
          <w:rStyle w:val="StringTok"/>
        </w:rPr>
        <w:t xml:space="preserve">"tipping fee persampahan"</w:t>
      </w:r>
      <w:r>
        <w:rPr>
          <w:rStyle w:val="KeywordTok"/>
        </w:rPr>
        <w:t xml:space="preserve">,</w:t>
      </w:r>
      <w:r>
        <w:rPr>
          <w:rStyle w:val="AttributeTok"/>
        </w:rPr>
        <w:t xml:space="preserve"> </w:t>
      </w:r>
      <w:r>
        <w:rPr>
          <w:rStyle w:val="StringTok"/>
        </w:rPr>
        <w:t xml:space="preserve">"KPBU jalan tol"</w:t>
      </w:r>
      <w:r>
        <w:rPr>
          <w:rStyle w:val="KeywordTok"/>
        </w:rPr>
        <w:t xml:space="preserve">,</w:t>
      </w:r>
      <w:r>
        <w:rPr>
          <w:rStyle w:val="AttributeTok"/>
        </w:rPr>
        <w:t xml:space="preserve"> </w:t>
      </w:r>
      <w:r>
        <w:rPr>
          <w:rStyle w:val="StringTok"/>
        </w:rPr>
        <w:t xml:space="preserve">"KPBU SPAM"</w:t>
      </w:r>
      <w:r>
        <w:rPr>
          <w:rStyle w:val="KeywordTok"/>
        </w:rPr>
        <w:t xml:space="preserve">,</w:t>
      </w:r>
      <w:r>
        <w:rPr>
          <w:rStyle w:val="AttributeTok"/>
        </w:rPr>
        <w:t xml:space="preserve"> </w:t>
      </w:r>
      <w:r>
        <w:rPr>
          <w:rStyle w:val="StringTok"/>
        </w:rPr>
        <w:t xml:space="preserve">"KPBU persampahan PSEL"</w:t>
      </w:r>
      <w:r>
        <w:rPr>
          <w:rStyle w:val="KeywordTok"/>
        </w:rPr>
        <w:t xml:space="preserve">,</w:t>
      </w:r>
      <w:r>
        <w:rPr>
          <w:rStyle w:val="AttributeTok"/>
        </w:rPr>
        <w:t xml:space="preserve"> </w:t>
      </w:r>
      <w:r>
        <w:rPr>
          <w:rStyle w:val="StringTok"/>
        </w:rPr>
        <w:t xml:space="preserve">"dukungan kelayakan VGF"</w:t>
      </w:r>
      <w:r>
        <w:rPr>
          <w:rStyle w:val="KeywordTok"/>
        </w:rPr>
        <w:t xml:space="preserve">,</w:t>
      </w:r>
      <w:r>
        <w:rPr>
          <w:rStyle w:val="AttributeTok"/>
        </w:rPr>
        <w:t xml:space="preserve"> </w:t>
      </w:r>
      <w:r>
        <w:rPr>
          <w:rStyle w:val="StringTok"/>
        </w:rPr>
        <w:t xml:space="preserve">"penjaminan infrastruktur"</w:t>
      </w:r>
      <w:r>
        <w:rPr>
          <w:rStyle w:val="KeywordTok"/>
        </w:rPr>
        <w:t xml:space="preserve">,</w:t>
      </w:r>
      <w:r>
        <w:rPr>
          <w:rStyle w:val="AttributeTok"/>
        </w:rPr>
        <w:t xml:space="preserve"> </w:t>
      </w:r>
      <w:r>
        <w:rPr>
          <w:rStyle w:val="StringTok"/>
        </w:rPr>
        <w:t xml:space="preserve">"badan usaha pelaksana"</w:t>
      </w:r>
      <w:r>
        <w:rPr>
          <w:rStyle w:val="KeywordTok"/>
        </w:rPr>
        <w:t xml:space="preserve">,</w:t>
      </w:r>
      <w:r>
        <w:rPr>
          <w:rStyle w:val="AttributeTok"/>
        </w:rPr>
        <w:t xml:space="preserve"> </w:t>
      </w:r>
      <w:r>
        <w:rPr>
          <w:rStyle w:val="StringTok"/>
        </w:rPr>
        <w:t xml:space="preserve">"PJPK"</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"jalur 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"https://kpbu.kemenkeu.go.id/read/39-42/pjpk/dukungan-pemerintah/pembayaran-berdasarkan-ketersediaan-layanan"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availability payment dan dasar hukumnya (PMK 260/PMK.08/2016), termasuk pengalokasian risiko pendapatan proyek ke PJPK"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"https://simpulkpbu.pu.go.id/proyek/krian-legundi-bunder-manyar"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"Indikasi nilai konstruksi vs indikasi nilai investasi Tol Krian-Legundi-Bunder-Manyar sebagai dua baris berbeda pada halaman yang sama"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"https://ppp.worldbank.org/public-private-partnership/payment-mechanism"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"Kerangka internasional user-pays vs government-pays sebagai analog user pay dan availability payment di Indonesia"</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1543</w:t>
      </w:r>
    </w:p>
    <w:p>
      <w:r>
        <w:pict>
          <v:rect style="width:0;height:1.5pt" o:hralign="center" o:hrstd="t" o:hr="t"/>
        </w:pict>
      </w:r>
    </w:p>
    <w:bookmarkEnd w:id="16"/>
    <w:bookmarkStart w:id="36" w:name="Xec640b4a023f79801521f918e56f0e8d25b889d"/>
    <w:p>
      <w:pPr>
        <w:pStyle w:val="Heading1"/>
      </w:pPr>
      <w:r>
        <w:t xml:space="preserve">Studi Kasus Proyek Infrastruktur di Indonesia: Empat Sektor, Empat Cara Uang Kembali</w:t>
      </w:r>
    </w:p>
    <w:p>
      <w:pPr>
        <w:pStyle w:val="FirstParagraph"/>
      </w:pPr>
      <w:r>
        <w:t xml:space="preserve">Pola yang sering ditemui di ruang penyiapan proyek: sebuah tim di pemerintah provinsi menyalin struktur transaksi proyek air minum yang sudah berjalan untuk rencana pengolahan sampahnya. Rapi di atas kertas, lalu berhenti di pertanyaan pertama calon pemberi pinjaman: dari mana uang badan usaha kembali? Pada air minum jawabannya tarif pelanggan. Pada persampahan tidak ada pengguna yang membayar per ton; yang ada</w:t>
      </w:r>
      <w:r>
        <w:t xml:space="preserve"> </w:t>
      </w:r>
      <w:r>
        <w:rPr>
          <w:i/>
          <w:iCs/>
        </w:rPr>
        <w:t xml:space="preserve">tipping fee</w:t>
      </w:r>
      <w:r>
        <w:t xml:space="preserve"> </w:t>
      </w:r>
      <w:r>
        <w:t xml:space="preserve">dari APBD beberapa daerah sekaligus. Artikel ini membandingkan</w:t>
      </w:r>
      <w:r>
        <w:t xml:space="preserve"> </w:t>
      </w:r>
      <w:hyperlink r:id="rId17">
        <w:r>
          <w:rPr>
            <w:rStyle w:val="Hyperlink"/>
          </w:rPr>
          <w:t xml:space="preserve">studi kasus proyek infrastruktur di Indonesia</w:t>
        </w:r>
      </w:hyperlink>
      <w:r>
        <w:t xml:space="preserve"> </w:t>
      </w:r>
      <w:r>
        <w:t xml:space="preserve">pada satu sumbu yang paling menentukan, dan menjelaskan mengapa pelajaran satu sektor tidak otomatis berlaku di sektor lain.</w:t>
      </w:r>
    </w:p>
    <w:p>
      <w:pPr>
        <w:pStyle w:val="BlockText"/>
      </w:pPr>
      <w:r>
        <w:rPr>
          <w:b/>
          <w:bCs/>
        </w:rPr>
        <w:t xml:space="preserve">Ringkasnya:</w:t>
      </w:r>
      <w:r>
        <w:t xml:space="preserve"> </w:t>
      </w:r>
      <w:r>
        <w:t xml:space="preserve">Mekanisme pengembalian investasi adalah cara badan usaha memperoleh kembali dananya dalam proyek KPBU. Indonesia mengenal dua pola resmi:</w:t>
      </w:r>
      <w:r>
        <w:t xml:space="preserve"> </w:t>
      </w:r>
      <w:r>
        <w:rPr>
          <w:i/>
          <w:iCs/>
        </w:rPr>
        <w:t xml:space="preserve">user pay</w:t>
      </w:r>
      <w:r>
        <w:t xml:space="preserve">, ketika badan usaha dibayar langsung oleh pengguna lewat tarif, dan</w:t>
      </w:r>
      <w:r>
        <w:t xml:space="preserve"> </w:t>
      </w:r>
      <w:r>
        <w:rPr>
          <w:i/>
          <w:iCs/>
        </w:rPr>
        <w:t xml:space="preserve">availability payment</w:t>
      </w:r>
      <w:r>
        <w:t xml:space="preserve">, diatur PMK 260/PMK.08/2016, ketika pemerintah membayar berkala atas ketersediaan layanan yang memenuhi standar, terlepas dari volume pemanfaatan.</w:t>
      </w:r>
    </w:p>
    <w:bookmarkStart w:id="19" w:name="X9bacd80497f3c3a01af720c8f95602c51f4bc04"/>
    <w:p>
      <w:pPr>
        <w:pStyle w:val="Heading2"/>
      </w:pPr>
      <w:r>
        <w:t xml:space="preserve">Apa yang Sebenarnya Membedakan Satu Proyek KPBU dari yang Lain?</w:t>
      </w:r>
    </w:p>
    <w:p>
      <w:pPr>
        <w:pStyle w:val="FirstParagraph"/>
      </w:pPr>
      <w:r>
        <w:t xml:space="preserve">Pembedanya bukan ukuran investasi atau kerumitan tekniknya, melainkan sumber pengembalian dana badan usaha. Kerangka KPBU (</w:t>
      </w:r>
      <w:r>
        <w:rPr>
          <w:i/>
          <w:iCs/>
        </w:rPr>
        <w:t xml:space="preserve">Kerja Sama Pemerintah dengan Badan Usaha</w:t>
      </w:r>
      <w:r>
        <w:t xml:space="preserve">) di Indonesia memakai tiga pola pembayaran yang lazim: tarif dari pengguna, pembayaran berkala pemerintah atas ketersediaan layanan, dan pembayaran per unit layanan yang ditanggung anggaran pemerintah daerah.</w:t>
      </w:r>
    </w:p>
    <w:p>
      <w:pPr>
        <w:pStyle w:val="Compact"/>
        <w:numPr>
          <w:ilvl w:val="0"/>
          <w:numId w:val="1001"/>
        </w:numPr>
      </w:pPr>
      <w:r>
        <w:rPr>
          <w:b/>
          <w:bCs/>
          <w:i/>
          <w:iCs/>
        </w:rPr>
        <w:t xml:space="preserve">User pay</w:t>
      </w:r>
      <w:r>
        <w:t xml:space="preserve">: badan usaha dibayar langsung oleh pengguna melalui tarif, seperti tarif jalan tol.</w:t>
      </w:r>
    </w:p>
    <w:p>
      <w:pPr>
        <w:pStyle w:val="Compact"/>
        <w:numPr>
          <w:ilvl w:val="0"/>
          <w:numId w:val="1001"/>
        </w:numPr>
      </w:pPr>
      <w:r>
        <w:rPr>
          <w:b/>
          <w:bCs/>
          <w:i/>
          <w:iCs/>
        </w:rPr>
        <w:t xml:space="preserve">Availability payment</w:t>
      </w:r>
      <w:r>
        <w:t xml:space="preserve"> </w:t>
      </w:r>
      <w:r>
        <w:t xml:space="preserve">(AP, pembayaran ketersediaan layanan): PJPK (Penanggung Jawab Proyek Kerja Sama) membayar berkala selama layanan memenuhi kriteria kontrak; dasar hukumnya PMK 260/PMK.08/2016, berlaku per 2026.</w:t>
      </w:r>
    </w:p>
    <w:p>
      <w:pPr>
        <w:pStyle w:val="Compact"/>
        <w:numPr>
          <w:ilvl w:val="0"/>
          <w:numId w:val="1001"/>
        </w:numPr>
      </w:pPr>
      <w:r>
        <w:rPr>
          <w:b/>
          <w:bCs/>
          <w:i/>
          <w:iCs/>
        </w:rPr>
        <w:t xml:space="preserve">Tipping fee</w:t>
      </w:r>
      <w:r>
        <w:t xml:space="preserve">: pemerintah daerah membayar per ton sampah yang diolah. Namanya biaya layanan, sumbernya anggaran publik.</w:t>
      </w:r>
    </w:p>
    <w:p>
      <w:pPr>
        <w:pStyle w:val="FirstParagraph"/>
      </w:pPr>
      <w:r>
        <w:t xml:space="preserve">Pembagian ini bukan kekhasan Indonesia.</w:t>
      </w:r>
      <w:r>
        <w:t xml:space="preserve"> </w:t>
      </w:r>
      <w:hyperlink r:id="rId18">
        <w:r>
          <w:rPr>
            <w:rStyle w:val="Hyperlink"/>
            <w:i/>
            <w:iCs/>
          </w:rPr>
          <w:t xml:space="preserve">PPP Reference Guide</w:t>
        </w:r>
        <w:r>
          <w:rPr>
            <w:rStyle w:val="Hyperlink"/>
          </w:rPr>
          <w:t xml:space="preserve"> </w:t>
        </w:r>
        <w:r>
          <w:rPr>
            <w:rStyle w:val="Hyperlink"/>
          </w:rPr>
          <w:t xml:space="preserve">World Bank</w:t>
        </w:r>
      </w:hyperlink>
      <w:r>
        <w:t xml:space="preserve"> </w:t>
      </w:r>
      <w:r>
        <w:t xml:space="preserve">memakai sumbu yang sama,</w:t>
      </w:r>
      <w:r>
        <w:t xml:space="preserve"> </w:t>
      </w:r>
      <w:r>
        <w:rPr>
          <w:i/>
          <w:iCs/>
        </w:rPr>
        <w:t xml:space="preserve">user-pays</w:t>
      </w:r>
      <w:r>
        <w:t xml:space="preserve"> </w:t>
      </w:r>
      <w:r>
        <w:t xml:space="preserve">versus</w:t>
      </w:r>
      <w:r>
        <w:t xml:space="preserve"> </w:t>
      </w:r>
      <w:r>
        <w:rPr>
          <w:i/>
          <w:iCs/>
        </w:rPr>
        <w:t xml:space="preserve">government-pays</w:t>
      </w:r>
      <w:r>
        <w:t xml:space="preserve">, untuk memisahkan proyek yang risiko permintaannya ditanggung pengguna dari yang ditanggung anggaran.</w:t>
      </w:r>
    </w:p>
    <w:bookmarkEnd w:id="19"/>
    <w:bookmarkStart w:id="21" w:name="X42c9049757e696a53533d4104b45ed1ca81d12f"/>
    <w:p>
      <w:pPr>
        <w:pStyle w:val="Heading2"/>
      </w:pPr>
      <w:r>
        <w:t xml:space="preserve">Empat Sektor, Empat Cara Uang Badan Usaha Kembali</w:t>
      </w:r>
    </w:p>
    <w:p>
      <w:pPr>
        <w:pStyle w:val="FirstParagraph"/>
      </w:pPr>
      <w:r>
        <w:t xml:space="preserve">Empat sektor berikut memakai mekanisme yang berbeda: jalan tol lewat tarif pengguna, air minum lewat tarif pelanggan PDAM, persampahan lewat</w:t>
      </w:r>
      <w:r>
        <w:t xml:space="preserve"> </w:t>
      </w:r>
      <w:r>
        <w:rPr>
          <w:i/>
          <w:iCs/>
        </w:rPr>
        <w:t xml:space="preserve">tipping fee</w:t>
      </w:r>
      <w:r>
        <w:t xml:space="preserve"> </w:t>
      </w:r>
      <w:r>
        <w:t xml:space="preserve">dari APBD, dan rumah sakit pendidikan lewat usulan kombinasi</w:t>
      </w:r>
      <w:r>
        <w:t xml:space="preserve"> </w:t>
      </w:r>
      <w:r>
        <w:rPr>
          <w:i/>
          <w:iCs/>
        </w:rPr>
        <w:t xml:space="preserve">availability payment</w:t>
      </w:r>
      <w:r>
        <w:t xml:space="preserve"> </w:t>
      </w:r>
      <w:r>
        <w:t xml:space="preserve">dengan pembayaran pasien. Perbedaan itu menentukan risiko dominan dan bentuk dukungan pemerintah yang relevan.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Sektor</w:t>
            </w:r>
          </w:p>
        </w:tc>
        <w:tc>
          <w:tcPr/>
          <w:p>
            <w:pPr>
              <w:pStyle w:val="Compact"/>
            </w:pPr>
            <w:r>
              <w:t xml:space="preserve">Contoh proyek</w:t>
            </w:r>
          </w:p>
        </w:tc>
        <w:tc>
          <w:tcPr/>
          <w:p>
            <w:pPr>
              <w:pStyle w:val="Compact"/>
            </w:pPr>
            <w:r>
              <w:t xml:space="preserve">Mekanisme pengembalian</w:t>
            </w:r>
          </w:p>
        </w:tc>
        <w:tc>
          <w:tcPr/>
          <w:p>
            <w:pPr>
              <w:pStyle w:val="Compact"/>
            </w:pPr>
            <w:r>
              <w:t xml:space="preserve">Pembayar</w:t>
            </w:r>
          </w:p>
        </w:tc>
        <w:tc>
          <w:tcPr/>
          <w:p>
            <w:pPr>
              <w:pStyle w:val="Compact"/>
            </w:pPr>
            <w:r>
              <w:t xml:space="preserve">Risiko dominan</w:t>
            </w:r>
          </w:p>
        </w:tc>
        <w:tc>
          <w:tcPr/>
          <w:p>
            <w:pPr>
              <w:pStyle w:val="Compact"/>
            </w:pPr>
            <w:r>
              <w:t xml:space="preserve">Dukungan pemerintah lazim</w:t>
            </w:r>
          </w:p>
        </w:tc>
      </w:tr>
      <w:tr>
        <w:tc>
          <w:tcPr/>
          <w:p>
            <w:pPr>
              <w:pStyle w:val="Compact"/>
            </w:pPr>
            <w:r>
              <w:rPr>
                <w:b/>
                <w:bCs/>
              </w:rPr>
              <w:t xml:space="preserve">Jalan tol</w:t>
            </w:r>
          </w:p>
        </w:tc>
        <w:tc>
          <w:tcPr/>
          <w:p>
            <w:pPr>
              <w:pStyle w:val="Compact"/>
            </w:pPr>
            <w:r>
              <w:t xml:space="preserve">Tol Krian-Legundi-Bunder-Manyar (KLBM), Jawa Timur; ±38,2 km; status operasi (2026)</w:t>
            </w:r>
          </w:p>
        </w:tc>
        <w:tc>
          <w:tcPr/>
          <w:p>
            <w:pPr>
              <w:pStyle w:val="Compact"/>
            </w:pPr>
            <w:r>
              <w:rPr>
                <w:i/>
                <w:iCs/>
              </w:rPr>
              <w:t xml:space="preserve">User pay</w:t>
            </w:r>
            <w:r>
              <w:t xml:space="preserve"> </w:t>
            </w:r>
            <w:r>
              <w:t xml:space="preserve">(tarif tol)</w:t>
            </w:r>
          </w:p>
        </w:tc>
        <w:tc>
          <w:tcPr/>
          <w:p>
            <w:pPr>
              <w:pStyle w:val="Compact"/>
            </w:pPr>
            <w:r>
              <w:t xml:space="preserve">Pengguna jalan</w:t>
            </w:r>
          </w:p>
        </w:tc>
        <w:tc>
          <w:tcPr/>
          <w:p>
            <w:pPr>
              <w:pStyle w:val="Compact"/>
            </w:pPr>
            <w:r>
              <w:t xml:space="preserve">Permintaan lalu lintas</w:t>
            </w:r>
          </w:p>
        </w:tc>
        <w:tc>
          <w:tcPr/>
          <w:p>
            <w:pPr>
              <w:pStyle w:val="Compact"/>
            </w:pPr>
            <w:r>
              <w:t xml:space="preserve">Penjaminan; pengadaan lahan via LMAN (</w:t>
            </w:r>
            <w:r>
              <w:rPr>
                <w:i/>
                <w:iCs/>
              </w:rPr>
              <w:t xml:space="preserve">Lembaga Manajemen Aset Negara</w:t>
            </w:r>
            <w:r>
              <w:t xml:space="preserve">), indikatif ±Rp 1,1 triliun (2026)</w:t>
            </w:r>
          </w:p>
        </w:tc>
      </w:tr>
      <w:tr>
        <w:tc>
          <w:tcPr/>
          <w:p>
            <w:pPr>
              <w:pStyle w:val="Compact"/>
            </w:pPr>
            <w:r>
              <w:rPr>
                <w:b/>
                <w:bCs/>
              </w:rPr>
              <w:t xml:space="preserve">Air minum (SPAM, Sistem Penyediaan Air Minum)</w:t>
            </w:r>
          </w:p>
        </w:tc>
        <w:tc>
          <w:tcPr/>
          <w:p>
            <w:pPr>
              <w:pStyle w:val="Compact"/>
            </w:pPr>
            <w:r>
              <w:t xml:space="preserve">SPAM Semarang Barat; 1.000 liter/detik; beroperasi sejak Mei 2021</w:t>
            </w:r>
          </w:p>
        </w:tc>
        <w:tc>
          <w:tcPr/>
          <w:p>
            <w:pPr>
              <w:pStyle w:val="Compact"/>
            </w:pPr>
            <w:r>
              <w:rPr>
                <w:i/>
                <w:iCs/>
              </w:rPr>
              <w:t xml:space="preserve">User pay</w:t>
            </w:r>
            <w:r>
              <w:t xml:space="preserve"> </w:t>
            </w:r>
            <w:r>
              <w:t xml:space="preserve">(tarif pelanggan via PDAM Tirta Moedal)</w:t>
            </w:r>
          </w:p>
        </w:tc>
        <w:tc>
          <w:tcPr/>
          <w:p>
            <w:pPr>
              <w:pStyle w:val="Compact"/>
            </w:pPr>
            <w:r>
              <w:t xml:space="preserve">Pelanggan rumah tangga</w:t>
            </w:r>
          </w:p>
        </w:tc>
        <w:tc>
          <w:tcPr/>
          <w:p>
            <w:pPr>
              <w:pStyle w:val="Compact"/>
            </w:pPr>
            <w:r>
              <w:t xml:space="preserve">Serapan sambungan (</w:t>
            </w:r>
            <w:r>
              <w:rPr>
                <w:i/>
                <w:iCs/>
              </w:rPr>
              <w:t xml:space="preserve">offtake</w:t>
            </w:r>
            <w:r>
              <w:t xml:space="preserve">)</w:t>
            </w:r>
          </w:p>
        </w:tc>
        <w:tc>
          <w:tcPr/>
          <w:p>
            <w:pPr>
              <w:pStyle w:val="Compact"/>
            </w:pPr>
            <w:r>
              <w:t xml:space="preserve">Dukungan kelayakan bila perlu (SPAM Umbulan: Rp 818 miliar, indikatif 2021)</w:t>
            </w:r>
          </w:p>
        </w:tc>
      </w:tr>
      <w:tr>
        <w:tc>
          <w:tcPr/>
          <w:p>
            <w:pPr>
              <w:pStyle w:val="Compact"/>
            </w:pPr>
            <w:r>
              <w:rPr>
                <w:b/>
                <w:bCs/>
              </w:rPr>
              <w:t xml:space="preserve">Persampahan (PSEL)</w:t>
            </w:r>
          </w:p>
        </w:tc>
        <w:tc>
          <w:tcPr/>
          <w:p>
            <w:pPr>
              <w:pStyle w:val="Compact"/>
            </w:pPr>
            <w:r>
              <w:t xml:space="preserve">PSEL Legok Nangka, Jawa Barat; 2.131 ton/hari;</w:t>
            </w:r>
            <w:r>
              <w:t xml:space="preserve"> </w:t>
            </w:r>
            <w:r>
              <w:rPr>
                <w:i/>
                <w:iCs/>
              </w:rPr>
              <w:t xml:space="preserve">groundbreaking</w:t>
            </w:r>
            <w:r>
              <w:t xml:space="preserve"> </w:t>
            </w:r>
            <w:r>
              <w:t xml:space="preserve">29 Juli 2026</w:t>
            </w:r>
          </w:p>
        </w:tc>
        <w:tc>
          <w:tcPr/>
          <w:p>
            <w:pPr>
              <w:pStyle w:val="Compact"/>
            </w:pPr>
            <w:r>
              <w:rPr>
                <w:i/>
                <w:iCs/>
              </w:rPr>
              <w:t xml:space="preserve">Tipping fee</w:t>
            </w:r>
            <w:r>
              <w:t xml:space="preserve"> </w:t>
            </w:r>
            <w:r>
              <w:t xml:space="preserve">per ton</w:t>
            </w:r>
          </w:p>
        </w:tc>
        <w:tc>
          <w:tcPr/>
          <w:p>
            <w:pPr>
              <w:pStyle w:val="Compact"/>
            </w:pPr>
            <w:r>
              <w:t xml:space="preserve">Pemprov dan 6 kabupaten/kota (APBD)</w:t>
            </w:r>
          </w:p>
        </w:tc>
        <w:tc>
          <w:tcPr/>
          <w:p>
            <w:pPr>
              <w:pStyle w:val="Compact"/>
            </w:pPr>
            <w:r>
              <w:t xml:space="preserve">Kapasitas fiskal banyak daerah sekaligus</w:t>
            </w:r>
          </w:p>
        </w:tc>
        <w:tc>
          <w:tcPr/>
          <w:p>
            <w:pPr>
              <w:pStyle w:val="Compact"/>
            </w:pPr>
            <w:r>
              <w:t xml:space="preserve">Dukungan kelayakan/VGF indikatif ±Rp 1,34 triliun (2026); subsidi</w:t>
            </w:r>
            <w:r>
              <w:t xml:space="preserve"> </w:t>
            </w:r>
            <w:r>
              <w:rPr>
                <w:i/>
                <w:iCs/>
              </w:rPr>
              <w:t xml:space="preserve">tipping fee</w:t>
            </w:r>
            <w:r>
              <w:t xml:space="preserve"> </w:t>
            </w:r>
            <w:r>
              <w:t xml:space="preserve">provinsi</w:t>
            </w:r>
          </w:p>
        </w:tc>
      </w:tr>
      <w:tr>
        <w:tc>
          <w:tcPr/>
          <w:p>
            <w:pPr>
              <w:pStyle w:val="Compact"/>
            </w:pPr>
            <w:r>
              <w:rPr>
                <w:b/>
                <w:bCs/>
              </w:rPr>
              <w:t xml:space="preserve">Kesehatan/pendidikan tinggi</w:t>
            </w:r>
          </w:p>
        </w:tc>
        <w:tc>
          <w:tcPr/>
          <w:p>
            <w:pPr>
              <w:pStyle w:val="Compact"/>
            </w:pPr>
            <w:r>
              <w:t xml:space="preserve">RS Pendidikan Unpad; RSPTN Udayana. Status: rekomendasi kajian, belum bertransaksi</w:t>
            </w:r>
          </w:p>
        </w:tc>
        <w:tc>
          <w:tcPr/>
          <w:p>
            <w:pPr>
              <w:pStyle w:val="Compact"/>
            </w:pPr>
            <w:r>
              <w:t xml:space="preserve">Usulan kombinasi</w:t>
            </w:r>
            <w:r>
              <w:t xml:space="preserve"> </w:t>
            </w:r>
            <w:r>
              <w:rPr>
                <w:i/>
                <w:iCs/>
              </w:rPr>
              <w:t xml:space="preserve">availability payment</w:t>
            </w:r>
            <w:r>
              <w:t xml:space="preserve"> </w:t>
            </w:r>
            <w:r>
              <w:t xml:space="preserve">dan pembayaran pasien (eksplisit untuk Unpad)</w:t>
            </w:r>
          </w:p>
        </w:tc>
        <w:tc>
          <w:tcPr/>
          <w:p>
            <w:pPr>
              <w:pStyle w:val="Compact"/>
            </w:pPr>
            <w:r>
              <w:t xml:space="preserve">Pemerintah dan pasien</w:t>
            </w:r>
          </w:p>
        </w:tc>
        <w:tc>
          <w:tcPr/>
          <w:p>
            <w:pPr>
              <w:pStyle w:val="Compact"/>
            </w:pPr>
            <w:r>
              <w:t xml:space="preserve">Ketersediaan layanan</w:t>
            </w:r>
          </w:p>
        </w:tc>
        <w:tc>
          <w:tcPr/>
          <w:p>
            <w:pPr>
              <w:pStyle w:val="Compact"/>
            </w:pPr>
            <w:r>
              <w:t xml:space="preserve">AP untuk menekan beban APBD</w:t>
            </w:r>
          </w:p>
        </w:tc>
      </w:tr>
    </w:tbl>
    <w:p>
      <w:pPr>
        <w:pStyle w:val="BodyText"/>
      </w:pPr>
      <w:r>
        <w:t xml:space="preserve">Satu peringatan sebelum tabel ini dipakai sebagai preseden. Angka</w:t>
      </w:r>
      <w:r>
        <w:t xml:space="preserve"> </w:t>
      </w:r>
      <w:r>
        <w:t xml:space="preserve">“nilai investasi”</w:t>
      </w:r>
      <w:r>
        <w:t xml:space="preserve"> </w:t>
      </w:r>
      <w:r>
        <w:t xml:space="preserve">kerap mencampur dua cakupan.</w:t>
      </w:r>
      <w:r>
        <w:t xml:space="preserve"> </w:t>
      </w:r>
      <w:hyperlink r:id="rId20">
        <w:r>
          <w:rPr>
            <w:rStyle w:val="Hyperlink"/>
          </w:rPr>
          <w:t xml:space="preserve">Portal Simpul KPBU Kementerian PU</w:t>
        </w:r>
      </w:hyperlink>
      <w:r>
        <w:t xml:space="preserve"> </w:t>
      </w:r>
      <w:r>
        <w:t xml:space="preserve">mencantumkan indikasi nilai konstruksi ±Rp 9,37 triliun dan indikasi nilai investasi ±Rp 12,93 triliun sebagai dua baris terpisah pada halaman Tol KLBM yang sama, sementara portal KPBU Kementerian Keuangan mencatat capex ±Rp 9,02 triliun. Ketiganya indikatif per publikasi 2026. Masa konsesinya pun berbeda: 40 tahun menurut Kementerian Keuangan, 50 tahun menurut Kementerian PU. Selisih itu belum terselesaikan, jadi jangan kutip salah satunya sebagai angka tunggal.</w:t>
      </w:r>
    </w:p>
    <w:p>
      <w:pPr>
        <w:pStyle w:val="BodyText"/>
      </w:pPr>
      <w:r>
        <w:t xml:space="preserve">Baris keempat sengaja ditulis berbeda: keduanya berasal dari kajian kebijakan yang dihimpun e-library IIGF Institute, unit manajemen pengetahuan KPBU milik PT PII, dan kombinasi pembayarannya masih berstatus usulan, bukan transaksi yang sudah berjalan.</w:t>
      </w:r>
    </w:p>
    <w:bookmarkEnd w:id="21"/>
    <w:bookmarkStart w:id="22" w:name="X418601498bc8a3d790bfbeb5765c139ec51969f"/>
    <w:p>
      <w:pPr>
        <w:pStyle w:val="Heading2"/>
      </w:pPr>
      <w:r>
        <w:t xml:space="preserve">Mengapa Proyek Persampahan Lebih Sulit Dibiayai daripada Jalan Tol?</w:t>
      </w:r>
    </w:p>
    <w:p>
      <w:pPr>
        <w:pStyle w:val="FirstParagraph"/>
      </w:pPr>
      <w:r>
        <w:t xml:space="preserve">Karena pembayarnya berbeda. Jalan tol punya pengguna yang membayar tarif langsung dan tarif itu diatur; persampahan tidak punya pengguna yang membayar per ton. Pembayarnya adalah APBD melalui</w:t>
      </w:r>
      <w:r>
        <w:t xml:space="preserve"> </w:t>
      </w:r>
      <w:r>
        <w:rPr>
          <w:i/>
          <w:iCs/>
        </w:rPr>
        <w:t xml:space="preserve">tipping fee</w:t>
      </w:r>
      <w:r>
        <w:t xml:space="preserve">, sehingga risiko bergeser dari permintaan pasar menjadi komitmen fiskal jangka panjang beberapa pemerintah daerah sekaligus, dengan kapasitas anggaran yang tidak seragam.</w:t>
      </w:r>
    </w:p>
    <w:p>
      <w:pPr>
        <w:pStyle w:val="BodyText"/>
      </w:pPr>
      <w:r>
        <w:t xml:space="preserve">Angkanya memperjelas. Pada PSEL (Pengolahan Sampah menjadi Energi Listrik) Legok Nangka, Jawa Barat,</w:t>
      </w:r>
      <w:r>
        <w:t xml:space="preserve"> </w:t>
      </w:r>
      <w:r>
        <w:rPr>
          <w:i/>
          <w:iCs/>
        </w:rPr>
        <w:t xml:space="preserve">tipping fee</w:t>
      </w:r>
      <w:r>
        <w:t xml:space="preserve"> </w:t>
      </w:r>
      <w:r>
        <w:t xml:space="preserve">disepakati Rp 386.000 per ton menurut kesepakatan 2019 (indikatif): Pemerintah Provinsi Jawa Barat menanggung 30 persen atau Rp 115.800 per ton, sisanya 70 persen atau Rp 270.200 per ton menjadi beban kabupaten/kota. Pemberitaan daerah mencatat sejumlah kabupaten/kota sempat menyuarakan keberatan atas besaran itu. Ini pos anggaran tahunan yang harus bertahan melewati pergantian kepemimpinan daerah.</w:t>
      </w:r>
    </w:p>
    <w:p>
      <w:pPr>
        <w:pStyle w:val="BodyText"/>
      </w:pPr>
      <w:r>
        <w:t xml:space="preserve">Skalanya pun bergerak. Basis data pemerintah masih memuat rencana 2024 senilai ±Rp 4–4,2 triliun (indikatif) untuk ±1.836–2.000 ton per hari dan 15 MW, sedangkan pada</w:t>
      </w:r>
      <w:r>
        <w:t xml:space="preserve"> </w:t>
      </w:r>
      <w:r>
        <w:rPr>
          <w:i/>
          <w:iCs/>
        </w:rPr>
        <w:t xml:space="preserve">groundbreaking</w:t>
      </w:r>
      <w:r>
        <w:t xml:space="preserve"> </w:t>
      </w:r>
      <w:r>
        <w:t xml:space="preserve">29 Juli 2026 nilainya dilaporkan ±Rp 7,2 triliun atau sekitar USD 400 juta (indikatif, 2026) untuk 2.131 ton per hari dan 40,79 MW. Halaman proyek di kedua portal pemerintah belum diperbarui, jadi bandingkan tanggal aksesnya sebelum memakai angka mana pun.</w:t>
      </w:r>
    </w:p>
    <w:bookmarkEnd w:id="22"/>
    <w:bookmarkStart w:id="24" w:name="Xd70370ae9344d975e90b83eaf56ce02fdbadbb8"/>
    <w:p>
      <w:pPr>
        <w:pStyle w:val="Heading2"/>
      </w:pPr>
      <w:r>
        <w:t xml:space="preserve">Cara Memilih Mekanisme yang Tepat untuk Sektor Anda</w:t>
      </w:r>
    </w:p>
    <w:p>
      <w:pPr>
        <w:pStyle w:val="FirstParagraph"/>
      </w:pPr>
      <w:r>
        <w:t xml:space="preserve">Mulailah dari pembayarnya, bukan dari sektornya. Lima pertanyaan penyaring berikut umumnya cukup untuk mempersempit pilihan sebelum konsultan transaksi dilibatkan: ada tidaknya pengguna yang membayar, tujuan layanan yang dikejar, jarak antara kelayakan ekonomi dan finansial, letak kekhawatiran pemberi pinjaman, serta jumlah daerah yang ikut membayar.</w:t>
      </w:r>
    </w:p>
    <w:p>
      <w:pPr>
        <w:pStyle w:val="Compact"/>
        <w:numPr>
          <w:ilvl w:val="0"/>
          <w:numId w:val="1002"/>
        </w:numPr>
      </w:pPr>
      <w:r>
        <w:rPr>
          <w:b/>
          <w:bCs/>
        </w:rPr>
        <w:t xml:space="preserve">Adakah pengguna yang mampu dan bersedia membayar tarif?</w:t>
      </w:r>
      <w:r>
        <w:t xml:space="preserve"> </w:t>
      </w:r>
      <w:r>
        <w:t xml:space="preserve">Jika ada dan tarifnya dapat diatur,</w:t>
      </w:r>
      <w:r>
        <w:t xml:space="preserve"> </w:t>
      </w:r>
      <w:r>
        <w:rPr>
          <w:i/>
          <w:iCs/>
        </w:rPr>
        <w:t xml:space="preserve">user pay</w:t>
      </w:r>
      <w:r>
        <w:t xml:space="preserve"> </w:t>
      </w:r>
      <w:r>
        <w:t xml:space="preserve">masuk akal.</w:t>
      </w:r>
    </w:p>
    <w:p>
      <w:pPr>
        <w:pStyle w:val="Compact"/>
        <w:numPr>
          <w:ilvl w:val="0"/>
          <w:numId w:val="1002"/>
        </w:numPr>
      </w:pPr>
      <w:r>
        <w:rPr>
          <w:b/>
          <w:bCs/>
        </w:rPr>
        <w:t xml:space="preserve">Ketersediaan layanan atau tingkat pemanfaatan yang dituju?</w:t>
      </w:r>
      <w:r>
        <w:t xml:space="preserve"> </w:t>
      </w:r>
      <w:r>
        <w:t xml:space="preserve">Bila mutunya ditentukan ketersediaan, AP lebih tepat daripada tarif.</w:t>
      </w:r>
    </w:p>
    <w:p>
      <w:pPr>
        <w:pStyle w:val="Compact"/>
        <w:numPr>
          <w:ilvl w:val="0"/>
          <w:numId w:val="1002"/>
        </w:numPr>
      </w:pPr>
      <w:r>
        <w:rPr>
          <w:b/>
          <w:bCs/>
        </w:rPr>
        <w:t xml:space="preserve">Layak ekonomi tetapi belum layak finansial?</w:t>
      </w:r>
      <w:r>
        <w:t xml:space="preserve"> </w:t>
      </w:r>
      <w:r>
        <w:t xml:space="preserve">Itu indikasi kebutuhan dukungan kelayakan (</w:t>
      </w:r>
      <w:r>
        <w:rPr>
          <w:i/>
          <w:iCs/>
        </w:rPr>
        <w:t xml:space="preserve">viability gap fund</w:t>
      </w:r>
      <w:r>
        <w:t xml:space="preserve">/VGF, diatur PMK 223/2012 jo. PMK 170/2018), dengan syarat antara lain nilai investasi minimal Rp 100 miliar.</w:t>
      </w:r>
    </w:p>
    <w:p>
      <w:pPr>
        <w:pStyle w:val="Compact"/>
        <w:numPr>
          <w:ilvl w:val="0"/>
          <w:numId w:val="1002"/>
        </w:numPr>
      </w:pPr>
      <w:r>
        <w:rPr>
          <w:b/>
          <w:bCs/>
        </w:rPr>
        <w:t xml:space="preserve">Kekhawatiran pemberi pinjaman ada pada risiko yang dipegang pemerintah?</w:t>
      </w:r>
      <w:r>
        <w:t xml:space="preserve"> </w:t>
      </w:r>
      <w:r>
        <w:t xml:space="preserve">Itu wilayah penjaminan infrastruktur (Perpres 78/2010), bukan wilayah menambah subsidi.</w:t>
      </w:r>
    </w:p>
    <w:p>
      <w:pPr>
        <w:pStyle w:val="Compact"/>
        <w:numPr>
          <w:ilvl w:val="0"/>
          <w:numId w:val="1002"/>
        </w:numPr>
      </w:pPr>
      <w:r>
        <w:rPr>
          <w:b/>
          <w:bCs/>
        </w:rPr>
        <w:t xml:space="preserve">Berapa pemerintah daerah yang ikut membayar?</w:t>
      </w:r>
      <w:r>
        <w:t xml:space="preserve"> </w:t>
      </w:r>
      <w:r>
        <w:t xml:space="preserve">Satu pembayar dan enam pembayar adalah dua proyek berbeda meski teknologinya identik.</w:t>
      </w:r>
    </w:p>
    <w:p>
      <w:pPr>
        <w:pStyle w:val="FirstParagraph"/>
      </w:pPr>
      <w:r>
        <w:t xml:space="preserve">Kelima pertanyaan itu dijawab pada tahap penyiapan, jauh sebelum dokumen lelang disusun, dan di titik itulah kapasitas tim PJPK paling sering menjadi kendala. Karena itu agenda</w:t>
      </w:r>
      <w:r>
        <w:t xml:space="preserve"> </w:t>
      </w:r>
      <w:hyperlink r:id="rId23">
        <w:r>
          <w:rPr>
            <w:rStyle w:val="Hyperlink"/>
          </w:rPr>
          <w:t xml:space="preserve">capacity building pembiayaan kreatif</w:t>
        </w:r>
      </w:hyperlink>
      <w:r>
        <w:t xml:space="preserve"> </w:t>
      </w:r>
      <w:r>
        <w:t xml:space="preserve">infrastruktur sebaiknya dimulai dari sini.</w:t>
      </w:r>
    </w:p>
    <w:bookmarkEnd w:id="24"/>
    <w:bookmarkStart w:id="27" w:name="X74386514b6949d28cf95943481030b14a9ebf23"/>
    <w:p>
      <w:pPr>
        <w:pStyle w:val="Heading2"/>
      </w:pPr>
      <w:r>
        <w:rPr>
          <w:i/>
          <w:iCs/>
        </w:rPr>
        <w:t xml:space="preserve">Availability Payment</w:t>
      </w:r>
      <w:r>
        <w:t xml:space="preserve"> </w:t>
      </w:r>
      <w:r>
        <w:t xml:space="preserve">Bukan Jalan Pintas: Ia Memindahkan Risiko, Bukan Menghapusnya</w:t>
      </w:r>
    </w:p>
    <w:p>
      <w:pPr>
        <w:pStyle w:val="FirstParagraph"/>
      </w:pPr>
      <w:r>
        <w:t xml:space="preserve">AP memang membuat proyek lebih menarik bagi badan usaha karena pengembaliannya tidak bergantung pada jumlah pengguna. Risikonya tidak hilang, hanya berpindah.</w:t>
      </w:r>
      <w:r>
        <w:t xml:space="preserve"> </w:t>
      </w:r>
      <w:hyperlink r:id="rId25">
        <w:r>
          <w:rPr>
            <w:rStyle w:val="Hyperlink"/>
          </w:rPr>
          <w:t xml:space="preserve">Definisi resmi Kementerian Keuangan</w:t>
        </w:r>
      </w:hyperlink>
      <w:r>
        <w:t xml:space="preserve"> </w:t>
      </w:r>
      <w:r>
        <w:t xml:space="preserve">menyebut AP sebagai pengalokasian risiko pendapatan proyek kepada PJPK, dan konsekuensinya adalah kewajiban pembayaran berkala yang harus muat dalam ruang fiskal sepanjang masa kerja sama.</w:t>
      </w:r>
    </w:p>
    <w:p>
      <w:pPr>
        <w:pStyle w:val="BodyText"/>
      </w:pPr>
      <w:r>
        <w:t xml:space="preserve">Memilih AP karena</w:t>
      </w:r>
      <w:r>
        <w:t xml:space="preserve"> </w:t>
      </w:r>
      <w:r>
        <w:t xml:space="preserve">“lebih mudah ditransaksikan”</w:t>
      </w:r>
      <w:r>
        <w:t xml:space="preserve"> </w:t>
      </w:r>
      <w:r>
        <w:t xml:space="preserve">adalah alasan yang keliru. Logika yang sama berlaku pada</w:t>
      </w:r>
      <w:r>
        <w:t xml:space="preserve"> </w:t>
      </w:r>
      <w:r>
        <w:rPr>
          <w:i/>
          <w:iCs/>
        </w:rPr>
        <w:t xml:space="preserve">tipping fee</w:t>
      </w:r>
      <w:r>
        <w:t xml:space="preserve">: pembayarnya pemerintah, dan komitmennya berumur belasan hingga puluhan tahun.</w:t>
      </w:r>
    </w:p>
    <w:p>
      <w:pPr>
        <w:pStyle w:val="BodyText"/>
      </w:pPr>
      <w:r>
        <w:t xml:space="preserve">Membedakan ketiga pola ini dan tahu kapan masing-masing pantas dipakai adalah kompetensi dasar dalam</w:t>
      </w:r>
      <w:r>
        <w:t xml:space="preserve"> </w:t>
      </w:r>
      <w:hyperlink r:id="rId26">
        <w:r>
          <w:rPr>
            <w:rStyle w:val="Hyperlink"/>
          </w:rPr>
          <w:t xml:space="preserve">jalur sertifikasi KPBU</w:t>
        </w:r>
      </w:hyperlink>
      <w:r>
        <w:t xml:space="preserve"> </w:t>
      </w:r>
      <w:r>
        <w:t xml:space="preserve">bertaraf internasional seperti CP3P (</w:t>
      </w:r>
      <w:r>
        <w:rPr>
          <w:i/>
          <w:iCs/>
        </w:rPr>
        <w:t xml:space="preserve">Certified Public-Private Partnership Professional</w:t>
      </w:r>
      <w:r>
        <w:t xml:space="preserve">). Kredensialnya dimiliki dan dianugerahkan APMG International, sementara pelatihannya diselenggarakan lembaga yang terakreditasi APMG sebagai</w:t>
      </w:r>
      <w:r>
        <w:t xml:space="preserve"> </w:t>
      </w:r>
      <w:r>
        <w:rPr>
          <w:i/>
          <w:iCs/>
        </w:rPr>
        <w:t xml:space="preserve">Accredited Training Organization</w:t>
      </w:r>
      <w:r>
        <w:t xml:space="preserve"> </w:t>
      </w:r>
      <w:r>
        <w:t xml:space="preserve">(ATO).</w:t>
      </w:r>
    </w:p>
    <w:bookmarkEnd w:id="27"/>
    <w:bookmarkStart w:id="34" w:name="faq-pertanyaan-yang-sering-diajukan"/>
    <w:p>
      <w:pPr>
        <w:pStyle w:val="Heading2"/>
      </w:pPr>
      <w:r>
        <w:t xml:space="preserve">FAQ (Pertanyaan yang Sering Diajukan)</w:t>
      </w:r>
    </w:p>
    <w:bookmarkStart w:id="28" w:name="Xbd00d7e2702c1c6cda39a053af96b48c6ccaca2"/>
    <w:p>
      <w:pPr>
        <w:pStyle w:val="Heading3"/>
      </w:pPr>
      <w:r>
        <w:t xml:space="preserve">Apa perbedaan</w:t>
      </w:r>
      <w:r>
        <w:t xml:space="preserve"> </w:t>
      </w:r>
      <w:r>
        <w:rPr>
          <w:i/>
          <w:iCs/>
        </w:rPr>
        <w:t xml:space="preserve">availability payment</w:t>
      </w:r>
      <w:r>
        <w:t xml:space="preserve"> </w:t>
      </w:r>
      <w:r>
        <w:t xml:space="preserve">dan</w:t>
      </w:r>
      <w:r>
        <w:t xml:space="preserve"> </w:t>
      </w:r>
      <w:r>
        <w:rPr>
          <w:i/>
          <w:iCs/>
        </w:rPr>
        <w:t xml:space="preserve">user pay</w:t>
      </w:r>
      <w:r>
        <w:t xml:space="preserve">?</w:t>
      </w:r>
    </w:p>
    <w:p>
      <w:pPr>
        <w:pStyle w:val="FirstParagraph"/>
      </w:pPr>
      <w:r>
        <w:rPr>
          <w:i/>
          <w:iCs/>
        </w:rPr>
        <w:t xml:space="preserve">User pay</w:t>
      </w:r>
      <w:r>
        <w:t xml:space="preserve"> </w:t>
      </w:r>
      <w:r>
        <w:t xml:space="preserve">berarti badan usaha memperoleh kembali investasinya dari tarif yang dibayar pengguna, seperti tarif Tol Krian-Legundi-Bunder-Manyar.</w:t>
      </w:r>
      <w:r>
        <w:t xml:space="preserve"> </w:t>
      </w:r>
      <w:r>
        <w:rPr>
          <w:i/>
          <w:iCs/>
        </w:rPr>
        <w:t xml:space="preserve">Availability payment</w:t>
      </w:r>
      <w:r>
        <w:t xml:space="preserve"> </w:t>
      </w:r>
      <w:r>
        <w:t xml:space="preserve">berarti pemerintah membayar berkala selama layanan memenuhi standar ketersediaan yang disepakati, terlepas dari jumlah pengguna. Dasar hukumnya PMK 260/PMK.08/2016, berlaku per 2026.</w:t>
      </w:r>
    </w:p>
    <w:bookmarkEnd w:id="28"/>
    <w:bookmarkStart w:id="29" w:name="X2a01488e315a45fb649f7323bc16def28539025"/>
    <w:p>
      <w:pPr>
        <w:pStyle w:val="Heading3"/>
      </w:pPr>
      <w:r>
        <w:t xml:space="preserve">Apa itu</w:t>
      </w:r>
      <w:r>
        <w:t xml:space="preserve"> </w:t>
      </w:r>
      <w:r>
        <w:rPr>
          <w:i/>
          <w:iCs/>
        </w:rPr>
        <w:t xml:space="preserve">tipping fee</w:t>
      </w:r>
      <w:r>
        <w:t xml:space="preserve"> </w:t>
      </w:r>
      <w:r>
        <w:t xml:space="preserve">dalam proyek persampahan?</w:t>
      </w:r>
    </w:p>
    <w:p>
      <w:pPr>
        <w:pStyle w:val="FirstParagraph"/>
      </w:pPr>
      <w:r>
        <w:rPr>
          <w:i/>
          <w:iCs/>
        </w:rPr>
        <w:t xml:space="preserve">Tipping fee</w:t>
      </w:r>
      <w:r>
        <w:t xml:space="preserve"> </w:t>
      </w:r>
      <w:r>
        <w:t xml:space="preserve">adalah biaya yang dibayarkan pemerintah daerah kepada badan usaha untuk setiap ton sampah yang diolah, pengganti tarif pengguna karena rumah tangga tidak membayar per ton. Pada PSEL Legok Nangka besarannya Rp 386.000 per ton (kesepakatan 2019, indikatif): 30 persen ditanggung provinsi, 70 persen kabupaten/kota.</w:t>
      </w:r>
    </w:p>
    <w:bookmarkEnd w:id="29"/>
    <w:bookmarkStart w:id="30" w:name="X0672f38fa6d9f5ad488be4dbfa89a66e0f706c8"/>
    <w:p>
      <w:pPr>
        <w:pStyle w:val="Heading3"/>
      </w:pPr>
      <w:r>
        <w:t xml:space="preserve">Sektor apa saja yang sudah menggunakan skema KPBU di Indonesia?</w:t>
      </w:r>
    </w:p>
    <w:p>
      <w:pPr>
        <w:pStyle w:val="FirstParagraph"/>
      </w:pPr>
      <w:r>
        <w:t xml:space="preserve">KPBU dipakai di jalan tol (Tol Krian-Legundi-Bunder-Manyar,</w:t>
      </w:r>
      <w:r>
        <w:t xml:space="preserve"> </w:t>
      </w:r>
      <w:r>
        <w:rPr>
          <w:i/>
          <w:iCs/>
        </w:rPr>
        <w:t xml:space="preserve">user pay</w:t>
      </w:r>
      <w:r>
        <w:t xml:space="preserve">), air minum (SPAM Semarang Barat, tarif pelanggan), persampahan (PSEL Legok Nangka,</w:t>
      </w:r>
      <w:r>
        <w:t xml:space="preserve"> </w:t>
      </w:r>
      <w:r>
        <w:rPr>
          <w:i/>
          <w:iCs/>
        </w:rPr>
        <w:t xml:space="preserve">tipping fee</w:t>
      </w:r>
      <w:r>
        <w:t xml:space="preserve">), telekomunikasi, penerangan jalan umum, hingga sektor sosial seperti rencana rumah sakit pendidikan yang masih berstatus kajian pada 2026.</w:t>
      </w:r>
    </w:p>
    <w:bookmarkEnd w:id="30"/>
    <w:bookmarkStart w:id="31" w:name="X86b18aae9f4e985a8942e7afbdb0bf7e32c1545"/>
    <w:p>
      <w:pPr>
        <w:pStyle w:val="Heading3"/>
      </w:pPr>
      <w:r>
        <w:t xml:space="preserve">Siapa yang membiayai proyek pada skema KPBU?</w:t>
      </w:r>
    </w:p>
    <w:p>
      <w:pPr>
        <w:pStyle w:val="FirstParagraph"/>
      </w:pPr>
      <w:r>
        <w:t xml:space="preserve">Pembiayaan awal ditanggung badan usaha pelaksana, yang memperoleh kembali dananya dari tarif pengguna atau pembayaran pemerintah selama masa kerja sama, bukan dari APBN/APBD untuk konstruksi. Pemerintah dapat menambahkan dukungan kelayakan (PMK 223/2012 jo. PMK 170/2018) dan penjaminan infrastruktur (Perpres 78/2010).</w:t>
      </w:r>
    </w:p>
    <w:bookmarkEnd w:id="31"/>
    <w:bookmarkStart w:id="32" w:name="X6cb4a8dec62268b2cc8f5b013dac3837c044071"/>
    <w:p>
      <w:pPr>
        <w:pStyle w:val="Heading3"/>
      </w:pPr>
      <w:r>
        <w:t xml:space="preserve">Apa itu dukungan kelayakan dan kapan proyek membutuhkannya?</w:t>
      </w:r>
    </w:p>
    <w:p>
      <w:pPr>
        <w:pStyle w:val="FirstParagraph"/>
      </w:pPr>
      <w:r>
        <w:t xml:space="preserve">Dukungan kelayakan (</w:t>
      </w:r>
      <w:r>
        <w:rPr>
          <w:i/>
          <w:iCs/>
        </w:rPr>
        <w:t xml:space="preserve">viability gap fund</w:t>
      </w:r>
      <w:r>
        <w:t xml:space="preserve">) adalah kontribusi pemerintah atas sebagian biaya konstruksi untuk proyek yang sudah layak ekonomi tetapi belum layak finansial, dengan syarat antara lain nilai investasi minimal Rp 100 miliar. SPAM Umbulan, misalnya, menerima Rp 818 miliar (indikatif, 2021).</w:t>
      </w:r>
    </w:p>
    <w:bookmarkEnd w:id="32"/>
    <w:bookmarkStart w:id="33" w:name="apa-kepanjangan-pjpk"/>
    <w:p>
      <w:pPr>
        <w:pStyle w:val="Heading3"/>
      </w:pPr>
      <w:r>
        <w:t xml:space="preserve">Apa kepanjangan PJPK?</w:t>
      </w:r>
    </w:p>
    <w:p>
      <w:pPr>
        <w:pStyle w:val="FirstParagraph"/>
      </w:pPr>
      <w:r>
        <w:t xml:space="preserve">PJPK adalah Penanggung Jawab Proyek Kerja Sama: menteri, kepala lembaga, atau kepala daerah yang mewakili pemerintah dalam perjanjian KPBU. PJPK menetapkan spesifikasi keluaran, mengajukan dukungan pemerintah bila perlu, serta membayar</w:t>
      </w:r>
      <w:r>
        <w:t xml:space="preserve"> </w:t>
      </w:r>
      <w:r>
        <w:rPr>
          <w:i/>
          <w:iCs/>
        </w:rPr>
        <w:t xml:space="preserve">availability payment</w:t>
      </w:r>
      <w:r>
        <w:t xml:space="preserve"> </w:t>
      </w:r>
      <w:r>
        <w:t xml:space="preserve">atau</w:t>
      </w:r>
      <w:r>
        <w:t xml:space="preserve"> </w:t>
      </w:r>
      <w:r>
        <w:rPr>
          <w:i/>
          <w:iCs/>
        </w:rPr>
        <w:t xml:space="preserve">tipping fee</w:t>
      </w:r>
      <w:r>
        <w:t xml:space="preserve">. Contohnya BPJT untuk Tol KLBM.</w:t>
      </w:r>
    </w:p>
    <w:bookmarkEnd w:id="33"/>
    <w:bookmarkEnd w:id="34"/>
    <w:bookmarkStart w:id="35" w:name="kesimpulan"/>
    <w:p>
      <w:pPr>
        <w:pStyle w:val="Heading2"/>
      </w:pPr>
      <w:r>
        <w:t xml:space="preserve">Kesimpulan</w:t>
      </w:r>
    </w:p>
    <w:p>
      <w:pPr>
        <w:pStyle w:val="FirstParagraph"/>
      </w:pPr>
      <w:r>
        <w:t xml:space="preserve">Kembali ke tim provinsi di awal tadi: kesalahannya bukan meniru, melainkan meniru struktur tanpa memeriksa dari mana uang badan usaha kembali. Membaca studi kasus proyek infrastruktur di Indonesia baru berguna ketika setiap kasus dibaca lewat sumbu itu, lengkap dengan cakupan angka dan tahun rujukannya. Lewat tiga pilar edukasi, riset, dan advokasi kebijakan, IIGF Institute selaku unit manajemen pengetahuan PT PII menerbitkan kajian semacam ini, antara lain melalui</w:t>
      </w:r>
      <w:r>
        <w:t xml:space="preserve"> </w:t>
      </w:r>
      <w:r>
        <w:rPr>
          <w:i/>
          <w:iCs/>
        </w:rPr>
        <w:t xml:space="preserve">Journal of Infrastructure Policy and Management</w:t>
      </w:r>
      <w:r>
        <w:t xml:space="preserve"> </w:t>
      </w:r>
      <w:r>
        <w:t xml:space="preserve">(JIPM), jurnal multidisiplin</w:t>
      </w:r>
      <w:r>
        <w:t xml:space="preserve"> </w:t>
      </w:r>
      <w:r>
        <w:rPr>
          <w:i/>
          <w:iCs/>
        </w:rPr>
        <w:t xml:space="preserve">peer-review double-blind</w:t>
      </w:r>
      <w:r>
        <w:t xml:space="preserve"> </w:t>
      </w:r>
      <w:r>
        <w:t xml:space="preserve">yang terbuka bagi analisis kasus sektoral.</w:t>
      </w:r>
    </w:p>
    <w:p>
      <w:pPr>
        <w:pStyle w:val="BodyText"/>
      </w:pPr>
      <w:r>
        <w:t xml:space="preserve">Kompendium studi kasus dan terbitan riset KPBU dapat Anda telusuri lebih jauh di institute.iigf.co.id.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6"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5" Target="https://kpbu.kemenkeu.go.id/read/39-42/pjpk/dukungan-pemerintah/pembayaran-berdasarkan-ketersediaan-layanan" TargetMode="External" /><Relationship Type="http://schemas.openxmlformats.org/officeDocument/2006/relationships/hyperlink" Id="rId18" Target="https://ppp.worldbank.org/public-private-partnership/payment-mechanism" TargetMode="External" /><Relationship Type="http://schemas.openxmlformats.org/officeDocument/2006/relationships/hyperlink" Id="rId20" Target="https://simpulkpbu.pu.go.id/proyek/krian-legundi-bunder-manyar" TargetMode="External" /></Relationships>
</file>

<file path=word/_rels/footnotes.xml.rels><?xml version="1.0" encoding="UTF-8"?><Relationships xmlns="http://schemas.openxmlformats.org/package/2006/relationships"><Relationship Type="http://schemas.openxmlformats.org/officeDocument/2006/relationships/hyperlink" Id="rId26"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5" Target="https://kpbu.kemenkeu.go.id/read/39-42/pjpk/dukungan-pemerintah/pembayaran-berdasarkan-ketersediaan-layanan" TargetMode="External" /><Relationship Type="http://schemas.openxmlformats.org/officeDocument/2006/relationships/hyperlink" Id="rId18" Target="https://ppp.worldbank.org/public-private-partnership/payment-mechanism" TargetMode="External" /><Relationship Type="http://schemas.openxmlformats.org/officeDocument/2006/relationships/hyperlink" Id="rId20" Target="https://simpulkpbu.pu.go.id/proyek/krian-legundi-bunder-many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2026-08-12T08:53:02Z</dcterms:created>
  <dcterms:modified xsi:type="dcterms:W3CDTF">2026-08-12T08:53:02Z</dcterms:modified>
</cp:coreProperties>
</file>

<file path=docProps/custom.xml><?xml version="1.0" encoding="utf-8"?>
<Properties xmlns="http://schemas.openxmlformats.org/officeDocument/2006/custom-properties" xmlns:vt="http://schemas.openxmlformats.org/officeDocument/2006/docPropsVTypes"/>
</file>