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"Studi Kasus Proyek Infrastruktur di Indonesia: Apa yang Berbeda pada KPBU Daerah"</w:t>
      </w:r>
      <w:r>
        <w:br/>
      </w:r>
      <w:r>
        <w:rPr>
          <w:rStyle w:val="FunctionTok"/>
        </w:rPr>
        <w:t xml:space="preserve">meta_title</w:t>
      </w:r>
      <w:r>
        <w:rPr>
          <w:rStyle w:val="KeywordTok"/>
        </w:rPr>
        <w:t xml:space="preserve">:</w:t>
      </w:r>
      <w:r>
        <w:rPr>
          <w:rStyle w:val="AttributeTok"/>
        </w:rPr>
        <w:t xml:space="preserve"> </w:t>
      </w:r>
      <w:r>
        <w:rPr>
          <w:rStyle w:val="StringTok"/>
        </w:rPr>
        <w:t xml:space="preserve">"Studi Kasus Proyek Infrastruktur Daerah: KPBU Skala Pemda"</w:t>
      </w:r>
      <w:r>
        <w:br/>
      </w:r>
      <w:r>
        <w:rPr>
          <w:rStyle w:val="FunctionTok"/>
        </w:rPr>
        <w:t xml:space="preserve">meta_description</w:t>
      </w:r>
      <w:r>
        <w:rPr>
          <w:rStyle w:val="KeywordTok"/>
        </w:rPr>
        <w:t xml:space="preserve">:</w:t>
      </w:r>
      <w:r>
        <w:rPr>
          <w:rStyle w:val="AttributeTok"/>
        </w:rPr>
        <w:t xml:space="preserve"> </w:t>
      </w:r>
      <w:r>
        <w:rPr>
          <w:rStyle w:val="StringTok"/>
        </w:rPr>
        <w:t xml:space="preserve">"Studi kasus proyek infrastruktur di Indonesia pada skala daerah: PJU Samarinda, SPAM Semarang Barat, PSEL Legok Nangka, plus daftar periksa kesiapan pemda."</w:t>
      </w:r>
      <w:r>
        <w:br/>
      </w:r>
      <w:r>
        <w:rPr>
          <w:rStyle w:val="FunctionTok"/>
        </w:rPr>
        <w:t xml:space="preserve">slug</w:t>
      </w:r>
      <w:r>
        <w:rPr>
          <w:rStyle w:val="KeywordTok"/>
        </w:rPr>
        <w:t xml:space="preserve">:</w:t>
      </w:r>
      <w:r>
        <w:rPr>
          <w:rStyle w:val="AttributeTok"/>
        </w:rPr>
        <w:t xml:space="preserve"> </w:t>
      </w:r>
      <w:r>
        <w:rPr>
          <w:rStyle w:val="StringTok"/>
        </w:rPr>
        <w:t xml:space="preserve">"studi-kasus-proyek-infrastruktur-di-indonesia-kpbu-daerah"</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"Studi kasus proyek infrastruktur di Indonesia"</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"KPBU daerah"</w:t>
      </w:r>
      <w:r>
        <w:rPr>
          <w:rStyle w:val="KeywordTok"/>
        </w:rPr>
        <w:t xml:space="preserve">,</w:t>
      </w:r>
      <w:r>
        <w:rPr>
          <w:rStyle w:val="AttributeTok"/>
        </w:rPr>
        <w:t xml:space="preserve"> </w:t>
      </w:r>
      <w:r>
        <w:rPr>
          <w:rStyle w:val="StringTok"/>
        </w:rPr>
        <w:t xml:space="preserve">"PJPK kepala daerah"</w:t>
      </w:r>
      <w:r>
        <w:rPr>
          <w:rStyle w:val="KeywordTok"/>
        </w:rPr>
        <w:t xml:space="preserve">,</w:t>
      </w:r>
      <w:r>
        <w:rPr>
          <w:rStyle w:val="AttributeTok"/>
        </w:rPr>
        <w:t xml:space="preserve"> </w:t>
      </w:r>
      <w:r>
        <w:rPr>
          <w:rStyle w:val="StringTok"/>
        </w:rPr>
        <w:t xml:space="preserve">"kapasitas fiskal APBD"</w:t>
      </w:r>
      <w:r>
        <w:rPr>
          <w:rStyle w:val="KeywordTok"/>
        </w:rPr>
        <w:t xml:space="preserve">,</w:t>
      </w:r>
      <w:r>
        <w:rPr>
          <w:rStyle w:val="AttributeTok"/>
        </w:rPr>
        <w:t xml:space="preserve"> </w:t>
      </w:r>
      <w:r>
        <w:rPr>
          <w:rStyle w:val="StringTok"/>
        </w:rPr>
        <w:t xml:space="preserve">"KPBU penerangan jalan umum"</w:t>
      </w:r>
      <w:r>
        <w:rPr>
          <w:rStyle w:val="KeywordTok"/>
        </w:rPr>
        <w:t xml:space="preserve">,</w:t>
      </w:r>
      <w:r>
        <w:rPr>
          <w:rStyle w:val="AttributeTok"/>
        </w:rPr>
        <w:t xml:space="preserve"> </w:t>
      </w:r>
      <w:r>
        <w:rPr>
          <w:rStyle w:val="StringTok"/>
        </w:rPr>
        <w:t xml:space="preserve">"SPAM regional"</w:t>
      </w:r>
      <w:r>
        <w:rPr>
          <w:rStyle w:val="KeywordTok"/>
        </w:rPr>
        <w:t xml:space="preserve">,</w:t>
      </w:r>
      <w:r>
        <w:rPr>
          <w:rStyle w:val="AttributeTok"/>
        </w:rPr>
        <w:t xml:space="preserve"> </w:t>
      </w:r>
      <w:r>
        <w:rPr>
          <w:rStyle w:val="StringTok"/>
        </w:rPr>
        <w:t xml:space="preserve">"KPBU persampahan daerah"</w:t>
      </w:r>
      <w:r>
        <w:rPr>
          <w:rStyle w:val="KeywordTok"/>
        </w:rPr>
        <w:t xml:space="preserve">,</w:t>
      </w:r>
      <w:r>
        <w:rPr>
          <w:rStyle w:val="AttributeTok"/>
        </w:rPr>
        <w:t xml:space="preserve"> </w:t>
      </w:r>
      <w:r>
        <w:rPr>
          <w:rStyle w:val="StringTok"/>
        </w:rPr>
        <w:t xml:space="preserve">"prakarsa badan usaha (unsolicited)"</w:t>
      </w:r>
      <w:r>
        <w:rPr>
          <w:rStyle w:val="KeywordTok"/>
        </w:rPr>
        <w:t xml:space="preserve">,</w:t>
      </w:r>
      <w:r>
        <w:rPr>
          <w:rStyle w:val="AttributeTok"/>
        </w:rPr>
        <w:t xml:space="preserve"> </w:t>
      </w:r>
      <w:r>
        <w:rPr>
          <w:rStyle w:val="StringTok"/>
        </w:rPr>
        <w:t xml:space="preserve">"dukungan kelayakan (VGF)"</w:t>
      </w:r>
      <w:r>
        <w:rPr>
          <w:rStyle w:val="KeywordTok"/>
        </w:rPr>
        <w:t xml:space="preserve">,</w:t>
      </w:r>
      <w:r>
        <w:rPr>
          <w:rStyle w:val="AttributeTok"/>
        </w:rPr>
        <w:t xml:space="preserve"> </w:t>
      </w:r>
      <w:r>
        <w:rPr>
          <w:rStyle w:val="StringTok"/>
        </w:rPr>
        <w:t xml:space="preserve">"dukungan DPRD proyek KPBU"</w:t>
      </w:r>
      <w:r>
        <w:rPr>
          <w:rStyle w:val="KeywordTok"/>
        </w:rPr>
        <w:t xml:space="preserve">,</w:t>
      </w:r>
      <w:r>
        <w:rPr>
          <w:rStyle w:val="AttributeTok"/>
        </w:rPr>
        <w:t xml:space="preserve"> </w:t>
      </w:r>
      <w:r>
        <w:rPr>
          <w:rStyle w:val="StringTok"/>
        </w:rPr>
        <w:t xml:space="preserve">"kesiapan proyek daerah"</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"https://institute.iigf.co.id/e-library/lainnya/77/studi-kasus-kpbu-untuk-penguatan-infrastruktur-digital-dan-informasi"</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"studi kasus proyek infrastruktur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"https://institute.iigf.co.id/capacity-building"</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"capacity building pembiayaan kreatif"</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"sertifikasi KPBU"</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"https://simpulkpbu.pu.go.id/proyek/psel-regional-legok-nangka-4-6"</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"Indikasi nilai investasi baseline PSEL Legok Nangka Rp 4,20 triliun, kapasitas 1.836 ton/hari dan 15 MW"</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"https://kpbu.kemenkeu.go.id/read/1098-1261/pjpk/dukungan-pemerintah/dukungan-kelayakan"</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dukungan kelayakan (VGF), syarat nilai investasi minimal Rp 100 miliar, dan alur pengajuan ke Menteri Keuangan"</w:t>
      </w:r>
      <w:r>
        <w:br/>
      </w:r>
      <w:r>
        <w:rPr>
          <w:rStyle w:val="FunctionTok"/>
        </w:rPr>
        <w:t xml:space="preserve">brief_id</w:t>
      </w:r>
      <w:r>
        <w:rPr>
          <w:rStyle w:val="KeywordTok"/>
        </w:rPr>
        <w:t xml:space="preserve">:</w:t>
      </w:r>
      <w:r>
        <w:rPr>
          <w:rStyle w:val="AttributeTok"/>
        </w:rPr>
        <w:t xml:space="preserve"> </w:t>
      </w:r>
      <w:r>
        <w:rPr>
          <w:rStyle w:val="StringTok"/>
        </w:rPr>
        <w:t xml:space="preserve">"studi-kasus-proyek-infrastruktur-di-indonesia-04"</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date_modified</w:t>
      </w:r>
      <w:r>
        <w:rPr>
          <w:rStyle w:val="KeywordTok"/>
        </w:rPr>
        <w:t xml:space="preserve">:</w:t>
      </w:r>
      <w:r>
        <w:rPr>
          <w:rStyle w:val="AttributeTok"/>
        </w:rPr>
        <w:t xml:space="preserve"> </w:t>
      </w:r>
      <w:r>
        <w:rPr>
          <w:rStyle w:val="StringTok"/>
        </w:rPr>
        <w:t xml:space="preserve">"2026-08-12"</w:t>
      </w:r>
      <w:r>
        <w:br/>
      </w:r>
      <w:r>
        <w:rPr>
          <w:rStyle w:val="FunctionTok"/>
        </w:rPr>
        <w:t xml:space="preserve">word_count</w:t>
      </w:r>
      <w:r>
        <w:rPr>
          <w:rStyle w:val="KeywordTok"/>
        </w:rPr>
        <w:t xml:space="preserve">:</w:t>
      </w:r>
      <w:r>
        <w:rPr>
          <w:rStyle w:val="AttributeTok"/>
        </w:rPr>
        <w:t xml:space="preserve"> </w:t>
      </w:r>
      <w:r>
        <w:rPr>
          <w:rStyle w:val="DecValTok"/>
        </w:rPr>
        <w:t xml:space="preserve">1572</w:t>
      </w:r>
    </w:p>
    <w:p>
      <w:r>
        <w:pict>
          <v:rect style="width:0;height:1.5pt" o:hralign="center" o:hrstd="t" o:hr="t"/>
        </w:pict>
      </w:r>
    </w:p>
    <w:bookmarkEnd w:id="16"/>
    <w:bookmarkStart w:id="34" w:name="X952d17a7ec7e189d57864e133a207b5a67d4cb7"/>
    <w:p>
      <w:pPr>
        <w:pStyle w:val="Heading1"/>
      </w:pPr>
      <w:r>
        <w:t xml:space="preserve">Studi Kasus Proyek Infrastruktur di Indonesia: Apa yang Berbeda pada KPBU Daerah</w:t>
      </w:r>
    </w:p>
    <w:p>
      <w:pPr>
        <w:pStyle w:val="FirstParagraph"/>
      </w:pPr>
      <w:r>
        <w:t xml:space="preserve">Seorang kepala bidang di dinas kota menghabiskan akhir pekan membaca</w:t>
      </w:r>
      <w:r>
        <w:t xml:space="preserve"> </w:t>
      </w:r>
      <w:hyperlink r:id="rId17">
        <w:r>
          <w:rPr>
            <w:rStyle w:val="Hyperlink"/>
          </w:rPr>
          <w:t xml:space="preserve">studi kasus proyek infrastruktur di Indonesia</w:t>
        </w:r>
      </w:hyperlink>
      <w:r>
        <w:t xml:space="preserve">: jalan tol, bandara, jaringan serat optik lintas provinsi. Semuanya bernilai triliunan, semuanya dengan kementerian sebagai penanggung jawab. Senin pagi ia menghadapi kenyataan lain: proyeknya jauh lebih kecil, penanggung jawabnya wali kota, pembayarnya APBD yang harus diamankan lintas tahun anggaran, dan pertanyaan tersulit datang dari DPRD, bukan dari investor. Skemanya sama, ekosistemnya berbeda. Tulisan ini membaca KPBU tingkat daerah lewat tiga kasus nyata dan memetakan apa yang perlu disiapkan sebelum melangkah.</w:t>
      </w:r>
    </w:p>
    <w:p>
      <w:pPr>
        <w:pStyle w:val="BlockText"/>
      </w:pPr>
      <w:r>
        <w:rPr>
          <w:b/>
          <w:bCs/>
        </w:rPr>
        <w:t xml:space="preserve">Ringkasnya:</w:t>
      </w:r>
      <w:r>
        <w:t xml:space="preserve"> </w:t>
      </w:r>
      <w:r>
        <w:t xml:space="preserve">Proyek KPBU daerah adalah kerja sama pemerintah dengan badan usaha yang penanggung jawabnya (PJPK) adalah kepala daerah (gubernur, bupati, atau wali kota) atau direksi BUMD, bukan menteri. Sumber pembayarannya umumnya APBD, sehingga kesiapan fiskal lintas tahun anggaran dan dukungan legislatif menjadi penentu utama keberhasilannya.</w:t>
      </w:r>
    </w:p>
    <w:bookmarkStart w:id="18" w:name="Xf4a458e9dd76930f79054c64391146c218a924c"/>
    <w:p>
      <w:pPr>
        <w:pStyle w:val="Heading2"/>
      </w:pPr>
      <w:r>
        <w:t xml:space="preserve">Apa itu proyek KPBU daerah dan siapa penanggung jawabnya?</w:t>
      </w:r>
    </w:p>
    <w:p>
      <w:pPr>
        <w:pStyle w:val="FirstParagraph"/>
      </w:pPr>
      <w:r>
        <w:t xml:space="preserve">KPBU (</w:t>
      </w:r>
      <w:r>
        <w:rPr>
          <w:i/>
          <w:iCs/>
        </w:rPr>
        <w:t xml:space="preserve">Kerja Sama Pemerintah dengan Badan Usaha</w:t>
      </w:r>
      <w:r>
        <w:t xml:space="preserve">) daerah memakai payung hukum yang sama dengan proyek nasional, yaitu Peraturan Presiden Nomor 38 Tahun 2015. Yang berbeda adalah pengisi kursi PJPK (</w:t>
      </w:r>
      <w:r>
        <w:rPr>
          <w:i/>
          <w:iCs/>
        </w:rPr>
        <w:t xml:space="preserve">Penanggung Jawab Proyek Kerja Sama</w:t>
      </w:r>
      <w:r>
        <w:t xml:space="preserve">): di daerah, posisi itu ditempati gubernur, bupati, wali kota, atau direksi BUMD sesuai kewenangan atas sektornya.</w:t>
      </w:r>
    </w:p>
    <w:p>
      <w:pPr>
        <w:pStyle w:val="BodyText"/>
      </w:pPr>
      <w:r>
        <w:t xml:space="preserve">Perlu dibedakan antara</w:t>
      </w:r>
      <w:r>
        <w:t xml:space="preserve"> </w:t>
      </w:r>
      <w:r>
        <w:t xml:space="preserve">“KPBU daerah”</w:t>
      </w:r>
      <w:r>
        <w:t xml:space="preserve"> </w:t>
      </w:r>
      <w:r>
        <w:t xml:space="preserve">dan</w:t>
      </w:r>
      <w:r>
        <w:t xml:space="preserve"> </w:t>
      </w:r>
      <w:r>
        <w:t xml:space="preserve">“KPBU yang PJPK-nya kepala daerah”</w:t>
      </w:r>
      <w:r>
        <w:t xml:space="preserve">. Pada SPAM (Sistem Penyediaan Air Minum) Semarang Barat, PJPK-nya Direktur Utama PDAM Tirta Moedal Kota Semarang, karena aset dan layanannya berada di bawah BUMD. Pada PSEL (Pengolahan Sampah menjadi Energi Listrik) Legok Nangka, PJPK-nya gubernur karena layanannya lintas kabupaten dan kota.</w:t>
      </w:r>
    </w:p>
    <w:p>
      <w:pPr>
        <w:pStyle w:val="BodyText"/>
      </w:pPr>
      <w:r>
        <w:t xml:space="preserve">Konsekuensi praktisnya satu, dan besar: sumber pembayaran bergeser dari APBN ke APBD atau ke tarif pengguna setempat.</w:t>
      </w:r>
    </w:p>
    <w:bookmarkEnd w:id="18"/>
    <w:bookmarkStart w:id="20" w:name="Xb28fd1fcf30c70bbfb5dce3dcdba30477e0c91b"/>
    <w:p>
      <w:pPr>
        <w:pStyle w:val="Heading2"/>
      </w:pPr>
      <w:r>
        <w:t xml:space="preserve">Tiga wajah KPBU daerah: penerangan jalan, air minum, dan persampahan</w:t>
      </w:r>
    </w:p>
    <w:p>
      <w:pPr>
        <w:pStyle w:val="FirstParagraph"/>
      </w:pPr>
      <w:r>
        <w:t xml:space="preserve">Studi kasus KPBU daerah yang paling terdokumentasi datang dari tiga sektor dan tiga tingkat pemerintahan berbeda: penerangan jalan umum di Kota Samarinda, air minum di Semarang Barat, dan pengolahan sampah menjadi energi listrik di Legok Nangka, Jawa Barat. Ketiganya menunjukkan bahwa</w:t>
      </w:r>
      <w:r>
        <w:t xml:space="preserve"> </w:t>
      </w:r>
      <w:r>
        <w:t xml:space="preserve">“KPBU daerah”</w:t>
      </w:r>
      <w:r>
        <w:t xml:space="preserve"> </w:t>
      </w:r>
      <w:r>
        <w:t xml:space="preserve">bukan satu model tunggal.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Proyek</w:t>
            </w:r>
          </w:p>
        </w:tc>
        <w:tc>
          <w:tcPr/>
          <w:p>
            <w:pPr>
              <w:pStyle w:val="Compact"/>
            </w:pPr>
            <w:r>
              <w:t xml:space="preserve">PJPK dan tingkat</w:t>
            </w:r>
          </w:p>
        </w:tc>
        <w:tc>
          <w:tcPr/>
          <w:p>
            <w:pPr>
              <w:pStyle w:val="Compact"/>
            </w:pPr>
            <w:r>
              <w:t xml:space="preserve">Sektor</w:t>
            </w:r>
          </w:p>
        </w:tc>
        <w:tc>
          <w:tcPr/>
          <w:p>
            <w:pPr>
              <w:pStyle w:val="Compact"/>
            </w:pPr>
            <w:r>
              <w:t xml:space="preserve">Pembayar</w:t>
            </w:r>
          </w:p>
        </w:tc>
        <w:tc>
          <w:tcPr/>
          <w:p>
            <w:pPr>
              <w:pStyle w:val="Compact"/>
            </w:pPr>
            <w:r>
              <w:t xml:space="preserve">Pelajaran utama</w:t>
            </w:r>
          </w:p>
        </w:tc>
      </w:tr>
      <w:tr>
        <w:tc>
          <w:tcPr/>
          <w:p>
            <w:pPr>
              <w:pStyle w:val="Compact"/>
            </w:pPr>
            <w:r>
              <w:t xml:space="preserve">PJU Kota Samarinda</w:t>
            </w:r>
          </w:p>
        </w:tc>
        <w:tc>
          <w:tcPr/>
          <w:p>
            <w:pPr>
              <w:pStyle w:val="Compact"/>
            </w:pPr>
            <w:r>
              <w:t xml:space="preserve">Wali kota (kota)</w:t>
            </w:r>
          </w:p>
        </w:tc>
        <w:tc>
          <w:tcPr/>
          <w:p>
            <w:pPr>
              <w:pStyle w:val="Compact"/>
            </w:pPr>
            <w:r>
              <w:t xml:space="preserve">Penerangan jalan umum</w:t>
            </w:r>
          </w:p>
        </w:tc>
        <w:tc>
          <w:tcPr/>
          <w:p>
            <w:pPr>
              <w:pStyle w:val="Compact"/>
            </w:pPr>
            <w:r>
              <w:t xml:space="preserve">APBD kota, jalur prakarsa badan usaha</w:t>
            </w:r>
          </w:p>
        </w:tc>
        <w:tc>
          <w:tcPr/>
          <w:p>
            <w:pPr>
              <w:pStyle w:val="Compact"/>
            </w:pPr>
            <w:r>
              <w:t xml:space="preserve">Cakupan PJU baru 36% dari kebutuhan di jalan utama dan 30% di permukiman; kebutuhan investasi hingga Rp 1 triliun melampaui APBD kota (indikatif, publikasi 2025)</w:t>
            </w:r>
          </w:p>
        </w:tc>
      </w:tr>
      <w:tr>
        <w:tc>
          <w:tcPr/>
          <w:p>
            <w:pPr>
              <w:pStyle w:val="Compact"/>
            </w:pPr>
            <w:r>
              <w:t xml:space="preserve">SPAM Semarang Barat</w:t>
            </w:r>
          </w:p>
        </w:tc>
        <w:tc>
          <w:tcPr/>
          <w:p>
            <w:pPr>
              <w:pStyle w:val="Compact"/>
            </w:pPr>
            <w:r>
              <w:t xml:space="preserve">Direktur Utama PDAM Tirta Moedal (BUMD kota)</w:t>
            </w:r>
          </w:p>
        </w:tc>
        <w:tc>
          <w:tcPr/>
          <w:p>
            <w:pPr>
              <w:pStyle w:val="Compact"/>
            </w:pPr>
            <w:r>
              <w:t xml:space="preserve">Air minum</w:t>
            </w:r>
          </w:p>
        </w:tc>
        <w:tc>
          <w:tcPr/>
          <w:p>
            <w:pPr>
              <w:pStyle w:val="Compact"/>
            </w:pPr>
            <w:r>
              <w:t xml:space="preserve">Tarif pengguna, APBD kota/PDAM, APBN</w:t>
            </w:r>
          </w:p>
        </w:tc>
        <w:tc>
          <w:tcPr/>
          <w:p>
            <w:pPr>
              <w:pStyle w:val="Compact"/>
            </w:pPr>
            <w:r>
              <w:t xml:space="preserve">PJPK tidak selalu kepala daerah; 1.000 liter/detik, investasi inti Rp 417,3 miliar (indikatif, portal KPBU Kemenkeu 2026), konsesi 25 tahun, beroperasi sejak 22 Mei 2021</w:t>
            </w:r>
          </w:p>
        </w:tc>
      </w:tr>
      <w:tr>
        <w:tc>
          <w:tcPr/>
          <w:p>
            <w:pPr>
              <w:pStyle w:val="Compact"/>
            </w:pPr>
            <w:r>
              <w:t xml:space="preserve">PSEL Legok Nangka</w:t>
            </w:r>
          </w:p>
        </w:tc>
        <w:tc>
          <w:tcPr/>
          <w:p>
            <w:pPr>
              <w:pStyle w:val="Compact"/>
            </w:pPr>
            <w:r>
              <w:t xml:space="preserve">Gubernur Jawa Barat (provinsi)</w:t>
            </w:r>
          </w:p>
        </w:tc>
        <w:tc>
          <w:tcPr/>
          <w:p>
            <w:pPr>
              <w:pStyle w:val="Compact"/>
            </w:pPr>
            <w:r>
              <w:t xml:space="preserve">Sampah menjadi energi listrik</w:t>
            </w:r>
          </w:p>
        </w:tc>
        <w:tc>
          <w:tcPr/>
          <w:p>
            <w:pPr>
              <w:pStyle w:val="Compact"/>
            </w:pPr>
            <w:r>
              <w:rPr>
                <w:i/>
                <w:iCs/>
              </w:rPr>
              <w:t xml:space="preserve">Tipping fee</w:t>
            </w:r>
            <w:r>
              <w:t xml:space="preserve"> </w:t>
            </w:r>
            <w:r>
              <w:t xml:space="preserve">provinsi dan enam kabupaten/kota, ditopang dukungan kelayakan (VGF) pusat Rp 1,34 triliun (indikatif, portal pemerintah 2026)</w:t>
            </w:r>
          </w:p>
        </w:tc>
        <w:tc>
          <w:tcPr/>
          <w:p>
            <w:pPr>
              <w:pStyle w:val="Compact"/>
            </w:pPr>
            <w:r>
              <w:t xml:space="preserve">Kewajiban terbagi ke banyak APBD sekaligus; skala proyek bisa berubah jauh sebelum konstruksi</w:t>
            </w:r>
          </w:p>
        </w:tc>
      </w:tr>
    </w:tbl>
    <w:p>
      <w:pPr>
        <w:pStyle w:val="BodyText"/>
      </w:pPr>
      <w:r>
        <w:t xml:space="preserve">Legok Nangka layak dibaca dua kali. Halaman proyek</w:t>
      </w:r>
      <w:r>
        <w:t xml:space="preserve"> </w:t>
      </w:r>
      <w:hyperlink r:id="rId19">
        <w:r>
          <w:rPr>
            <w:rStyle w:val="Hyperlink"/>
          </w:rPr>
          <w:t xml:space="preserve">Simpul KPBU Kementerian PU</w:t>
        </w:r>
      </w:hyperlink>
      <w:r>
        <w:t xml:space="preserve"> </w:t>
      </w:r>
      <w:r>
        <w:t xml:space="preserve">masih mencatat indikasi investasi Rp 4,20 triliun, kapasitas 1.836 ton sampah per hari, dan listrik 15 MW (diakses Agustus 2026). Pada</w:t>
      </w:r>
      <w:r>
        <w:t xml:space="preserve"> </w:t>
      </w:r>
      <w:r>
        <w:rPr>
          <w:i/>
          <w:iCs/>
        </w:rPr>
        <w:t xml:space="preserve">groundbreaking</w:t>
      </w:r>
      <w:r>
        <w:t xml:space="preserve"> </w:t>
      </w:r>
      <w:r>
        <w:t xml:space="preserve">29 Juli 2026, pemberitaan nasional melaporkan Rp 7,2 triliun (sekitar USD 400 juta), 2.131 ton per hari, dan 40,79 MW, dengan target operasi 2029. Keduanya benar untuk masanya masing-masing: skala tumbuh saat proyek maju ke konstruksi, jadi setiap angka wajib membawa tahun rujukannya.</w:t>
      </w:r>
    </w:p>
    <w:p>
      <w:pPr>
        <w:pStyle w:val="BodyText"/>
      </w:pPr>
      <w:r>
        <w:t xml:space="preserve">Angka cakupan PJU Kota Samarinda berasal dari studi kasus terbitan e-library IIGF Institute (31 Agustus 2025); topik yang sama lebih dulu dibahas dalam forum riset di Fakultas Teknik Universitas Mulawarman, Samarinda, pada 9 Maret 2023. Proyeknya masih pada tahap pengusulan menurut data yang tersedia hingga 2025; dokumen prakarsanya diserahkan kepada wali kota selaku PJPK pada 5 Januari 2023 (indikatif).</w:t>
      </w:r>
    </w:p>
    <w:bookmarkEnd w:id="20"/>
    <w:bookmarkStart w:id="23" w:name="X3190470fd65d59f92422c3a023ca5699a4fe173"/>
    <w:p>
      <w:pPr>
        <w:pStyle w:val="Heading2"/>
      </w:pPr>
      <w:r>
        <w:t xml:space="preserve">Apa saja yang harus siap sebelum daerah mengusulkan proyek KPBU?</w:t>
      </w:r>
    </w:p>
    <w:p>
      <w:pPr>
        <w:pStyle w:val="FirstParagraph"/>
      </w:pPr>
      <w:r>
        <w:t xml:space="preserve">Sebelum mengusulkan proyek KPBU, daerah perlu memastikan tujuh hal: kejelasan kewenangan atas sektor, studi pendahuluan yang menjawab siapa membayar, ruang fiskal APBD lintas tahun, dukungan legislatif, tim teknis dan pendampingannya, jalur dukungan kelayakan serta penjaminan, dan sikap yang jelas terhadap prakarsa badan usaha.</w:t>
      </w:r>
    </w:p>
    <w:p>
      <w:pPr>
        <w:pStyle w:val="Compact"/>
        <w:numPr>
          <w:ilvl w:val="0"/>
          <w:numId w:val="1001"/>
        </w:numPr>
      </w:pPr>
      <w:r>
        <w:rPr>
          <w:b/>
          <w:bCs/>
        </w:rPr>
        <w:t xml:space="preserve">Kewenangan atas sektor.</w:t>
      </w:r>
      <w:r>
        <w:t xml:space="preserve"> </w:t>
      </w:r>
      <w:r>
        <w:t xml:space="preserve">Pastikan siapa yang sah menjadi PJPK: kepala daerah, atau direksi BUMD bila aset dan layanannya ada di bawah BUMD.</w:t>
      </w:r>
    </w:p>
    <w:p>
      <w:pPr>
        <w:pStyle w:val="Compact"/>
        <w:numPr>
          <w:ilvl w:val="0"/>
          <w:numId w:val="1001"/>
        </w:numPr>
      </w:pPr>
      <w:r>
        <w:rPr>
          <w:b/>
          <w:bCs/>
        </w:rPr>
        <w:t xml:space="preserve">Studi pendahuluan yang menjawab</w:t>
      </w:r>
      <w:r>
        <w:rPr>
          <w:b/>
          <w:bCs/>
        </w:rPr>
        <w:t xml:space="preserve"> </w:t>
      </w:r>
      <w:r>
        <w:rPr>
          <w:b/>
          <w:bCs/>
        </w:rPr>
        <w:t xml:space="preserve">“siapa membayar, berapa lama”</w:t>
      </w:r>
      <w:r>
        <w:rPr>
          <w:b/>
          <w:bCs/>
        </w:rPr>
        <w:t xml:space="preserve">.</w:t>
      </w:r>
      <w:r>
        <w:t xml:space="preserve"> </w:t>
      </w:r>
      <w:r>
        <w:t xml:space="preserve">Skema pengembalian investasi (tarif pengguna,</w:t>
      </w:r>
      <w:r>
        <w:t xml:space="preserve"> </w:t>
      </w:r>
      <w:r>
        <w:rPr>
          <w:i/>
          <w:iCs/>
        </w:rPr>
        <w:t xml:space="preserve">availability payment</w:t>
      </w:r>
      <w:r>
        <w:t xml:space="preserve"> </w:t>
      </w:r>
      <w:r>
        <w:t xml:space="preserve">atas ketersediaan layanan, atau</w:t>
      </w:r>
      <w:r>
        <w:t xml:space="preserve"> </w:t>
      </w:r>
      <w:r>
        <w:rPr>
          <w:i/>
          <w:iCs/>
        </w:rPr>
        <w:t xml:space="preserve">tipping fee</w:t>
      </w:r>
      <w:r>
        <w:t xml:space="preserve"> </w:t>
      </w:r>
      <w:r>
        <w:t xml:space="preserve">per ton sampah) menentukan beban APBD bertahun-tahun ke depan.</w:t>
      </w:r>
    </w:p>
    <w:p>
      <w:pPr>
        <w:pStyle w:val="Compact"/>
        <w:numPr>
          <w:ilvl w:val="0"/>
          <w:numId w:val="1001"/>
        </w:numPr>
      </w:pPr>
      <w:r>
        <w:rPr>
          <w:b/>
          <w:bCs/>
        </w:rPr>
        <w:t xml:space="preserve">Ruang fiskal APBD lintas tahun anggaran.</w:t>
      </w:r>
      <w:r>
        <w:t xml:space="preserve"> </w:t>
      </w:r>
      <w:r>
        <w:t xml:space="preserve">Proyeksi APBD harus menampung kewajiban tahunan tanpa mendesak belanja wajib.</w:t>
      </w:r>
    </w:p>
    <w:p>
      <w:pPr>
        <w:pStyle w:val="Compact"/>
        <w:numPr>
          <w:ilvl w:val="0"/>
          <w:numId w:val="1001"/>
        </w:numPr>
      </w:pPr>
      <w:r>
        <w:rPr>
          <w:b/>
          <w:bCs/>
        </w:rPr>
        <w:t xml:space="preserve">Dukungan legislatif.</w:t>
      </w:r>
      <w:r>
        <w:t xml:space="preserve"> </w:t>
      </w:r>
      <w:r>
        <w:t xml:space="preserve">Komitmen pembayaran lintas tahun perlu dipahami dan disetujui DPRD sejak awal, bukan saat dokumen sudah final. Beberapa kajian evaluasi KPBU mencatat keterlibatan pemerintah daerah dalam proses ini relatif terbatas dibanding kementerian pusat, sehingga sosialisasi dini memperpendek jalan.</w:t>
      </w:r>
    </w:p>
    <w:p>
      <w:pPr>
        <w:pStyle w:val="Compact"/>
        <w:numPr>
          <w:ilvl w:val="0"/>
          <w:numId w:val="1001"/>
        </w:numPr>
      </w:pPr>
      <w:r>
        <w:rPr>
          <w:b/>
          <w:bCs/>
        </w:rPr>
        <w:t xml:space="preserve">Tim teknis dan bukti kompetensinya.</w:t>
      </w:r>
      <w:r>
        <w:t xml:space="preserve"> </w:t>
      </w:r>
      <w:r>
        <w:t xml:space="preserve">Pemberi pinjaman menilai siapa yang menyiapkan dokumen, dan jalur</w:t>
      </w:r>
      <w:r>
        <w:t xml:space="preserve"> </w:t>
      </w:r>
      <w:hyperlink r:id="rId21">
        <w:r>
          <w:rPr>
            <w:rStyle w:val="Hyperlink"/>
          </w:rPr>
          <w:t xml:space="preserve">sertifikasi KPBU</w:t>
        </w:r>
      </w:hyperlink>
      <w:r>
        <w:t xml:space="preserve"> </w:t>
      </w:r>
      <w:r>
        <w:t xml:space="preserve">adalah cara terstruktur membangun sekaligus membuktikannya.</w:t>
      </w:r>
    </w:p>
    <w:p>
      <w:pPr>
        <w:pStyle w:val="Compact"/>
        <w:numPr>
          <w:ilvl w:val="0"/>
          <w:numId w:val="1001"/>
        </w:numPr>
      </w:pPr>
      <w:r>
        <w:rPr>
          <w:b/>
          <w:bCs/>
        </w:rPr>
        <w:t xml:space="preserve">Jalur dukungan kelayakan dan penjaminan.</w:t>
      </w:r>
      <w:r>
        <w:t xml:space="preserve"> </w:t>
      </w:r>
      <w:hyperlink r:id="rId22">
        <w:r>
          <w:rPr>
            <w:rStyle w:val="Hyperlink"/>
          </w:rPr>
          <w:t xml:space="preserve">Dukungan kelayakan</w:t>
        </w:r>
      </w:hyperlink>
      <w:r>
        <w:t xml:space="preserve"> </w:t>
      </w:r>
      <w:r>
        <w:t xml:space="preserve">atau</w:t>
      </w:r>
      <w:r>
        <w:t xml:space="preserve"> </w:t>
      </w:r>
      <w:r>
        <w:rPr>
          <w:i/>
          <w:iCs/>
        </w:rPr>
        <w:t xml:space="preserve">viability gap fund</w:t>
      </w:r>
      <w:r>
        <w:t xml:space="preserve"> </w:t>
      </w:r>
      <w:r>
        <w:t xml:space="preserve">mensyaratkan antara lain nilai investasi minimal Rp 100 miliar dan lelang terbuka (Kementerian Keuangan, 2026); penjaminan infrastruktur disalurkan melalui PT PII.</w:t>
      </w:r>
    </w:p>
    <w:p>
      <w:pPr>
        <w:pStyle w:val="Compact"/>
        <w:numPr>
          <w:ilvl w:val="0"/>
          <w:numId w:val="1001"/>
        </w:numPr>
      </w:pPr>
      <w:r>
        <w:rPr>
          <w:b/>
          <w:bCs/>
        </w:rPr>
        <w:t xml:space="preserve">Sikap terhadap prakarsa badan usaha (</w:t>
      </w:r>
      <w:r>
        <w:rPr>
          <w:b/>
          <w:bCs/>
          <w:i/>
          <w:iCs/>
        </w:rPr>
        <w:t xml:space="preserve">unsolicited</w:t>
      </w:r>
      <w:r>
        <w:rPr>
          <w:b/>
          <w:bCs/>
        </w:rPr>
        <w:t xml:space="preserve">).</w:t>
      </w:r>
      <w:r>
        <w:t xml:space="preserve"> </w:t>
      </w:r>
      <w:r>
        <w:t xml:space="preserve">Bila investor mengajukan lebih dulu, daerah tetap wajib menempuh evaluasi dan lelang kompetitif, bukan penunjukan langsung.</w:t>
      </w:r>
    </w:p>
    <w:p>
      <w:pPr>
        <w:pStyle w:val="FirstParagraph"/>
      </w:pPr>
      <w:r>
        <w:t xml:space="preserve">Sebagian besar butir di atas bukan soal ketersediaan uang, melainkan soal kelembagaan.</w:t>
      </w:r>
    </w:p>
    <w:bookmarkEnd w:id="23"/>
    <w:bookmarkStart w:id="25" w:name="ke-mana-daerah-bisa-meminta-bantuan"/>
    <w:p>
      <w:pPr>
        <w:pStyle w:val="Heading2"/>
      </w:pPr>
      <w:r>
        <w:t xml:space="preserve">Ke mana daerah bisa meminta bantuan?</w:t>
      </w:r>
    </w:p>
    <w:p>
      <w:pPr>
        <w:pStyle w:val="FirstParagraph"/>
      </w:pPr>
      <w:r>
        <w:t xml:space="preserve">Pemerintah daerah tidak perlu menyiapkan proyek KPBU sendirian. Ada empat pintu yang lazim dipakai: Kantor Bersama KPBU sebagai simpul koordinasi lintas kementerian, portal proyek pemerintah sebagai rujukan dokumen, jalur dukungan pemerintah untuk proyek yang belum layak finansial, dan kolaborasi kajian dengan perguruan tinggi setempat.</w:t>
      </w:r>
    </w:p>
    <w:p>
      <w:pPr>
        <w:pStyle w:val="Compact"/>
        <w:numPr>
          <w:ilvl w:val="0"/>
          <w:numId w:val="1002"/>
        </w:numPr>
      </w:pPr>
      <w:r>
        <w:rPr>
          <w:b/>
          <w:bCs/>
        </w:rPr>
        <w:t xml:space="preserve">Kantor Bersama KPBU.</w:t>
      </w:r>
      <w:r>
        <w:t xml:space="preserve"> </w:t>
      </w:r>
      <w:r>
        <w:t xml:space="preserve">Forum koordinasi beranggotakan tujuh kementerian/lembaga: Kemenko Perekonomian, Kemenko Marves, Kemendagri, Kementerian Keuangan, Kementerian PPN/Bappenas selaku sekretariat, Kementerian Investasi/BKPM, dan LKPP (nota kesepahaman 18 September 2020, indikatif).</w:t>
      </w:r>
    </w:p>
    <w:p>
      <w:pPr>
        <w:pStyle w:val="Compact"/>
        <w:numPr>
          <w:ilvl w:val="0"/>
          <w:numId w:val="1002"/>
        </w:numPr>
      </w:pPr>
      <w:r>
        <w:rPr>
          <w:b/>
          <w:bCs/>
        </w:rPr>
        <w:t xml:space="preserve">Portal rujukan dokumen.</w:t>
      </w:r>
      <w:r>
        <w:t xml:space="preserve"> </w:t>
      </w:r>
      <w:r>
        <w:rPr>
          <w:rStyle w:val="VerbatimChar"/>
        </w:rPr>
        <w:t xml:space="preserve">kpbu.kemenkeu.go.id</w:t>
      </w:r>
      <w:r>
        <w:t xml:space="preserve"> </w:t>
      </w:r>
      <w:r>
        <w:t xml:space="preserve">memuat halaman rinci per proyek;</w:t>
      </w:r>
      <w:r>
        <w:t xml:space="preserve"> </w:t>
      </w:r>
      <w:r>
        <w:rPr>
          <w:rStyle w:val="VerbatimChar"/>
        </w:rPr>
        <w:t xml:space="preserve">simpulkpbu.pu.go.id</w:t>
      </w:r>
      <w:r>
        <w:t xml:space="preserve"> </w:t>
      </w:r>
      <w:r>
        <w:t xml:space="preserve">memuat data proyek air minum dan persampahan.</w:t>
      </w:r>
    </w:p>
    <w:p>
      <w:pPr>
        <w:pStyle w:val="Compact"/>
        <w:numPr>
          <w:ilvl w:val="0"/>
          <w:numId w:val="1002"/>
        </w:numPr>
      </w:pPr>
      <w:r>
        <w:rPr>
          <w:b/>
          <w:bCs/>
        </w:rPr>
        <w:t xml:space="preserve">Dukungan pemerintah.</w:t>
      </w:r>
      <w:r>
        <w:t xml:space="preserve"> </w:t>
      </w:r>
      <w:r>
        <w:t xml:space="preserve">PJPK daerah mengajukan dukungan kelayakan kepada Menteri Keuangan untuk dievaluasi Komite VGF; pencairannya bertahap saat konstruksi atau saat operasi komersial dimulai.</w:t>
      </w:r>
    </w:p>
    <w:p>
      <w:pPr>
        <w:pStyle w:val="Compact"/>
        <w:numPr>
          <w:ilvl w:val="0"/>
          <w:numId w:val="1002"/>
        </w:numPr>
      </w:pPr>
      <w:r>
        <w:rPr>
          <w:b/>
          <w:bCs/>
        </w:rPr>
        <w:t xml:space="preserve">Perguruan tinggi setempat.</w:t>
      </w:r>
      <w:r>
        <w:t xml:space="preserve"> </w:t>
      </w:r>
      <w:r>
        <w:t xml:space="preserve">Jejaring UNIID/JPII (Jaringan Perguruan Tinggi untuk Pembangunan Infrastruktur Indonesia) yang difasilitasi PT PII (33–35 universitas, per publikasi 2026) menyediakan mitra kajian yang paham konteks lokal.</w:t>
      </w:r>
    </w:p>
    <w:p>
      <w:pPr>
        <w:pStyle w:val="FirstParagraph"/>
      </w:pPr>
      <w:r>
        <w:t xml:space="preserve">Yang paling sering kurang bukan dokumennya, melainkan orang yang sanggup membacanya. Di situlah program</w:t>
      </w:r>
      <w:r>
        <w:t xml:space="preserve"> </w:t>
      </w:r>
      <w:hyperlink r:id="rId24">
        <w:r>
          <w:rPr>
            <w:rStyle w:val="Hyperlink"/>
          </w:rPr>
          <w:t xml:space="preserve">capacity building pembiayaan kreatif</w:t>
        </w:r>
      </w:hyperlink>
      <w:r>
        <w:t xml:space="preserve"> </w:t>
      </w:r>
      <w:r>
        <w:t xml:space="preserve">bagi aparatur daerah menemukan relevansinya.</w:t>
      </w:r>
    </w:p>
    <w:bookmarkEnd w:id="25"/>
    <w:bookmarkStart w:id="26" w:name="X4dc701b9f4678613e26b6e91fdcc156205ae8bd"/>
    <w:p>
      <w:pPr>
        <w:pStyle w:val="Heading2"/>
      </w:pPr>
      <w:r>
        <w:t xml:space="preserve">Kapan daerah Anda BELUM perlu menempuh jalur KPBU</w:t>
      </w:r>
    </w:p>
    <w:p>
      <w:pPr>
        <w:pStyle w:val="FirstParagraph"/>
      </w:pPr>
      <w:r>
        <w:t xml:space="preserve">KPBU belum tepat bila kebutuhannya sederhana, dananya tersedia, dan nilainya kecil. Skema ini membawa biaya penyiapan, uji tuntas, dan negosiasi yang sebagian besar bersifat tetap, sehingga proporsinya jauh lebih berat pada proyek kota ketimbang jalan tol nasional. Pengadaan biasa sering lebih cepat dan lebih murah.</w:t>
      </w:r>
    </w:p>
    <w:p>
      <w:pPr>
        <w:pStyle w:val="BodyText"/>
      </w:pPr>
      <w:r>
        <w:t xml:space="preserve">Salah paham yang paling sering muncul: KPBU dianggap cara menyiasati keterbatasan APBD. Tidak begitu. Pada skema</w:t>
      </w:r>
      <w:r>
        <w:t xml:space="preserve"> </w:t>
      </w:r>
      <w:r>
        <w:rPr>
          <w:i/>
          <w:iCs/>
        </w:rPr>
        <w:t xml:space="preserve">availability payment</w:t>
      </w:r>
      <w:r>
        <w:t xml:space="preserve"> </w:t>
      </w:r>
      <w:r>
        <w:t xml:space="preserve">atau</w:t>
      </w:r>
      <w:r>
        <w:t xml:space="preserve"> </w:t>
      </w:r>
      <w:r>
        <w:rPr>
          <w:i/>
          <w:iCs/>
        </w:rPr>
        <w:t xml:space="preserve">tipping fee</w:t>
      </w:r>
      <w:r>
        <w:t xml:space="preserve">, APBD tetap membayar; yang berubah hanya jadwalnya, terbentang lintas tahun alih-alih sekaligus di muka sebagai belanja modal. Legok Nangka memberi angkanya:</w:t>
      </w:r>
      <w:r>
        <w:t xml:space="preserve"> </w:t>
      </w:r>
      <w:r>
        <w:rPr>
          <w:i/>
          <w:iCs/>
        </w:rPr>
        <w:t xml:space="preserve">tipping fee</w:t>
      </w:r>
      <w:r>
        <w:t xml:space="preserve"> </w:t>
      </w:r>
      <w:r>
        <w:t xml:space="preserve">yang disepakati pada 9 Oktober 2019 sebesar Rp 386.000 per ton (indikatif) dibagi menjadi 30% tanggungan provinsi (Rp 115.800) dan 70% tanggungan enam kabupaten/kota (Rp 270.200).</w:t>
      </w:r>
    </w:p>
    <w:p>
      <w:pPr>
        <w:pStyle w:val="BodyText"/>
      </w:pPr>
      <w:r>
        <w:t xml:space="preserve">Satu sinyal lagi bahwa waktunya belum tepat: dukungan legislatif belum terbentuk. Ini bukan penilaian terhadap DPRD mana pun. Pemberitaan media regional pada Desember 2022 justru mencatat DPRD Kota Samarinda menilai skema KPBU cocok untuk kebutuhan penerangan jalan kotanya. Yang menentukan adalah kualitas sosialisasi, bukan sikap bawaan lembaganya.</w:t>
      </w:r>
    </w:p>
    <w:bookmarkEnd w:id="26"/>
    <w:bookmarkStart w:id="32" w:name="faq-pertanyaan-yang-sering-diajukan"/>
    <w:p>
      <w:pPr>
        <w:pStyle w:val="Heading2"/>
      </w:pPr>
      <w:r>
        <w:t xml:space="preserve">FAQ (Pertanyaan yang Sering Diajukan)</w:t>
      </w:r>
    </w:p>
    <w:bookmarkStart w:id="27" w:name="apa-itu-proyek-kpbu-daerah"/>
    <w:p>
      <w:pPr>
        <w:pStyle w:val="Heading3"/>
      </w:pPr>
      <w:r>
        <w:t xml:space="preserve">Apa itu proyek KPBU daerah?</w:t>
      </w:r>
    </w:p>
    <w:p>
      <w:pPr>
        <w:pStyle w:val="FirstParagraph"/>
      </w:pPr>
      <w:r>
        <w:t xml:space="preserve">Proyek KPBU daerah adalah kerja sama pemerintah dengan badan usaha yang penanggung jawab proyeknya (PJPK) adalah gubernur, bupati, wali kota, atau direksi BUMD, bukan menteri. Dasar hukumnya sama dengan KPBU nasional, yaitu Perpres 38/2015, tetapi sumber pembayarannya umumnya APBD sehingga kewajibannya terbentang lintas tahun anggaran.</w:t>
      </w:r>
    </w:p>
    <w:bookmarkEnd w:id="27"/>
    <w:bookmarkStart w:id="28" w:name="X9025a3a489402f285a98e7c8510e12b742e991f"/>
    <w:p>
      <w:pPr>
        <w:pStyle w:val="Heading3"/>
      </w:pPr>
      <w:r>
        <w:t xml:space="preserve">Apa kepanjangan PJPK dan siapa PJPK di tingkat daerah?</w:t>
      </w:r>
    </w:p>
    <w:p>
      <w:pPr>
        <w:pStyle w:val="FirstParagraph"/>
      </w:pPr>
      <w:r>
        <w:t xml:space="preserve">PJPK adalah Penanggung Jawab Proyek Kerja Sama, pihak pemerintah yang menandatangani perjanjian KPBU dengan badan usaha pelaksana. Di daerah, posisi ini dapat diisi gubernur (seperti pada PSEL Legok Nangka), wali kota, atau direksi BUMD (seperti Direktur Utama PDAM Tirta Moedal pada SPAM Semarang Barat), sesuai kewenangan atas sektornya.</w:t>
      </w:r>
    </w:p>
    <w:bookmarkEnd w:id="28"/>
    <w:bookmarkStart w:id="29" w:name="X03b530fec457d4d2d0d7d39c2296a9ef6a3e192"/>
    <w:p>
      <w:pPr>
        <w:pStyle w:val="Heading3"/>
      </w:pPr>
      <w:r>
        <w:t xml:space="preserve">Apa itu proyek prakarsa badan usaha (</w:t>
      </w:r>
      <w:r>
        <w:rPr>
          <w:i/>
          <w:iCs/>
        </w:rPr>
        <w:t xml:space="preserve">unsolicited</w:t>
      </w:r>
      <w:r>
        <w:t xml:space="preserve">)?</w:t>
      </w:r>
    </w:p>
    <w:p>
      <w:pPr>
        <w:pStyle w:val="FirstParagraph"/>
      </w:pPr>
      <w:r>
        <w:t xml:space="preserve">Prakarsa badan usaha adalah jalur KPBU yang inisiatifnya datang dari investor, bukan dari pemerintah. Proyek PJU Kota Samarinda menempuh jalur ini; dokumen prakarsa diserahkan kepada wali kota selaku PJPK pada 5 Januari 2023 (indikatif), dan proyeknya masih pada tahap pengusulan per data 2025. Daerah tetap wajib mengevaluasi dan melelangnya secara kompetitif.</w:t>
      </w:r>
    </w:p>
    <w:bookmarkEnd w:id="29"/>
    <w:bookmarkStart w:id="30" w:name="X0a2c7fde598932c6f9dab2af380ae4ef92949af"/>
    <w:p>
      <w:pPr>
        <w:pStyle w:val="Heading3"/>
      </w:pPr>
      <w:r>
        <w:t xml:space="preserve">Apa itu dukungan kelayakan dan bagaimana daerah mengajukannya?</w:t>
      </w:r>
    </w:p>
    <w:p>
      <w:pPr>
        <w:pStyle w:val="FirstParagraph"/>
      </w:pPr>
      <w:r>
        <w:t xml:space="preserve">Dukungan kelayakan (</w:t>
      </w:r>
      <w:r>
        <w:rPr>
          <w:i/>
          <w:iCs/>
        </w:rPr>
        <w:t xml:space="preserve">viability gap fund</w:t>
      </w:r>
      <w:r>
        <w:t xml:space="preserve">/VGF) adalah kontribusi tunai pemerintah pusat atas sebagian biaya konstruksi untuk proyek yang layak secara ekonomi tetapi belum layak secara finansial. Syaratnya antara lain nilai investasi minimal Rp 100 miliar dan lelang terbuka (Kementerian Keuangan, 2026). PJPK daerah mengajukannya kepada Menteri Keuangan.</w:t>
      </w:r>
    </w:p>
    <w:bookmarkEnd w:id="30"/>
    <w:bookmarkStart w:id="31" w:name="X233b4a09f8f0473c83e83fd104c2fe7b4239159"/>
    <w:p>
      <w:pPr>
        <w:pStyle w:val="Heading3"/>
      </w:pPr>
      <w:r>
        <w:t xml:space="preserve">Apakah KPBU membuat APBD tidak lagi terbebani?</w:t>
      </w:r>
    </w:p>
    <w:p>
      <w:pPr>
        <w:pStyle w:val="FirstParagraph"/>
      </w:pPr>
      <w:r>
        <w:t xml:space="preserve">Tidak. Pada skema</w:t>
      </w:r>
      <w:r>
        <w:t xml:space="preserve"> </w:t>
      </w:r>
      <w:r>
        <w:rPr>
          <w:i/>
          <w:iCs/>
        </w:rPr>
        <w:t xml:space="preserve">availability payment</w:t>
      </w:r>
      <w:r>
        <w:t xml:space="preserve"> </w:t>
      </w:r>
      <w:r>
        <w:t xml:space="preserve">atau</w:t>
      </w:r>
      <w:r>
        <w:t xml:space="preserve"> </w:t>
      </w:r>
      <w:r>
        <w:rPr>
          <w:i/>
          <w:iCs/>
        </w:rPr>
        <w:t xml:space="preserve">tipping fee</w:t>
      </w:r>
      <w:r>
        <w:t xml:space="preserve">, APBD tetap membayar dan yang berubah hanya jadwalnya. Pada PSEL Legok Nangka, enam kabupaten/kota menanggung 70% dari</w:t>
      </w:r>
      <w:r>
        <w:t xml:space="preserve"> </w:t>
      </w:r>
      <w:r>
        <w:rPr>
          <w:i/>
          <w:iCs/>
        </w:rPr>
        <w:t xml:space="preserve">tipping fee</w:t>
      </w:r>
      <w:r>
        <w:t xml:space="preserve"> </w:t>
      </w:r>
      <w:r>
        <w:t xml:space="preserve">Rp 386.000 per ton (indikatif, kesepakatan 2019). KPBU menjadwal ulang beban fiskal, bukan menghapusnya.</w:t>
      </w:r>
    </w:p>
    <w:bookmarkEnd w:id="31"/>
    <w:bookmarkEnd w:id="32"/>
    <w:bookmarkStart w:id="33" w:name="kesimpulan"/>
    <w:p>
      <w:pPr>
        <w:pStyle w:val="Heading2"/>
      </w:pPr>
      <w:r>
        <w:t xml:space="preserve">Kesimpulan</w:t>
      </w:r>
    </w:p>
    <w:p>
      <w:pPr>
        <w:pStyle w:val="FirstParagraph"/>
      </w:pPr>
      <w:r>
        <w:t xml:space="preserve">Kembali ke kepala bidang di awal tulisan ini. Yang ia butuhkan bukan cerita megaproyek, melainkan preseden pada skalanya sendiri, dan justru studi kasus proyek infrastruktur di Indonesia pada skala daerah yang paling jarang terdokumentasi. Melalui tiga pilarnya, yaitu edukasi, riset, dan advokasi kebijakan, IIGF Institute sebagai unit manajemen pengetahuan PT PII memperkuat basis pengetahuan KPBU di Indonesia;</w:t>
      </w:r>
      <w:r>
        <w:t xml:space="preserve"> </w:t>
      </w:r>
      <w:r>
        <w:rPr>
          <w:i/>
          <w:iCs/>
        </w:rPr>
        <w:t xml:space="preserve">Journal of Infrastructure Policy and Management</w:t>
      </w:r>
      <w:r>
        <w:t xml:space="preserve"> </w:t>
      </w:r>
      <w:r>
        <w:t xml:space="preserve">(JIPM) yang diterbitkannya terbuka bagi kajian kasus daerah, dari akademisi maupun praktisi pemda. Bila daerah Anda sedang menyiapkan proyek, catatan prosesnya berharga bagi daerah lain.</w:t>
      </w:r>
    </w:p>
    <w:p>
      <w:pPr>
        <w:pStyle w:val="BodyText"/>
      </w:pPr>
      <w:r>
        <w:t xml:space="preserve">Kajian, publikasi, dan materi pembelajaran KPBU yang relevan dengan konteks daerah dapat Anda telusuri di institute.iigf.co.id.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1" Target="https://institute.iigf.co.id/" TargetMode="External" /><Relationship Type="http://schemas.openxmlformats.org/officeDocument/2006/relationships/hyperlink" Id="rId24" Target="https://institute.iigf.co.id/capacity-building" TargetMode="External" /><Relationship Type="http://schemas.openxmlformats.org/officeDocument/2006/relationships/hyperlink" Id="rId17" Target="https://institute.iigf.co.id/e-library/lainnya/77/studi-kasus-kpbu-untuk-penguatan-infrastruktur-digital-dan-informasi" TargetMode="External" /><Relationship Type="http://schemas.openxmlformats.org/officeDocument/2006/relationships/hyperlink" Id="rId22" Target="https://kpbu.kemenkeu.go.id/read/1098-1261/pjpk/dukungan-pemerintah/dukungan-kelayakan" TargetMode="External" /><Relationship Type="http://schemas.openxmlformats.org/officeDocument/2006/relationships/hyperlink" Id="rId19" Target="https://simpulkpbu.pu.go.id/proyek/psel-regional-legok-nangka-4-6" TargetMode="External" /></Relationships>
</file>

<file path=word/_rels/footnotes.xml.rels><?xml version="1.0" encoding="UTF-8"?><Relationships xmlns="http://schemas.openxmlformats.org/package/2006/relationships"><Relationship Type="http://schemas.openxmlformats.org/officeDocument/2006/relationships/hyperlink" Id="rId21" Target="https://institute.iigf.co.id/" TargetMode="External" /><Relationship Type="http://schemas.openxmlformats.org/officeDocument/2006/relationships/hyperlink" Id="rId24" Target="https://institute.iigf.co.id/capacity-building" TargetMode="External" /><Relationship Type="http://schemas.openxmlformats.org/officeDocument/2006/relationships/hyperlink" Id="rId17" Target="https://institute.iigf.co.id/e-library/lainnya/77/studi-kasus-kpbu-untuk-penguatan-infrastruktur-digital-dan-informasi" TargetMode="External" /><Relationship Type="http://schemas.openxmlformats.org/officeDocument/2006/relationships/hyperlink" Id="rId22" Target="https://kpbu.kemenkeu.go.id/read/1098-1261/pjpk/dukungan-pemerintah/dukungan-kelayakan" TargetMode="External" /><Relationship Type="http://schemas.openxmlformats.org/officeDocument/2006/relationships/hyperlink" Id="rId19" Target="https://simpulkpbu.pu.go.id/proyek/psel-regional-legok-nangka-4-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2026-08-12T08:53:04Z</dcterms:created>
  <dcterms:modified xsi:type="dcterms:W3CDTF">2026-08-12T08:53:04Z</dcterms:modified>
</cp:coreProperties>
</file>

<file path=docProps/custom.xml><?xml version="1.0" encoding="utf-8"?>
<Properties xmlns="http://schemas.openxmlformats.org/officeDocument/2006/custom-properties" xmlns:vt="http://schemas.openxmlformats.org/officeDocument/2006/docPropsVTypes"/>
</file>