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"Sertifikasi KPBU: Menghitung Biaya Total dan Siklus Anggaran"</w:t>
      </w:r>
      <w:r>
        <w:br/>
      </w:r>
      <w:r>
        <w:rPr>
          <w:rStyle w:val="FunctionTok"/>
        </w:rPr>
        <w:t xml:space="preserve">meta_title</w:t>
      </w:r>
      <w:r>
        <w:rPr>
          <w:rStyle w:val="KeywordTok"/>
        </w:rPr>
        <w:t xml:space="preserve">:</w:t>
      </w:r>
      <w:r>
        <w:rPr>
          <w:rStyle w:val="AttributeTok"/>
        </w:rPr>
        <w:t xml:space="preserve"> </w:t>
      </w:r>
      <w:r>
        <w:rPr>
          <w:rStyle w:val="StringTok"/>
        </w:rPr>
        <w:t xml:space="preserve">"Sertifikasi KPBU: Biaya Total &amp; Siklus Anggaran"</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menghitung biaya total sertifikasi KPBU: tabel biaya per level (indikatif 2026), tiga skenario pengiriman peserta, dan pemetaan ke siklus RKA."</w:t>
      </w:r>
      <w:r>
        <w:br/>
      </w:r>
      <w:r>
        <w:rPr>
          <w:rStyle w:val="FunctionTok"/>
        </w:rPr>
        <w:t xml:space="preserve">slug</w:t>
      </w:r>
      <w:r>
        <w:rPr>
          <w:rStyle w:val="KeywordTok"/>
        </w:rPr>
        <w:t xml:space="preserve">:</w:t>
      </w:r>
      <w:r>
        <w:rPr>
          <w:rStyle w:val="AttributeTok"/>
        </w:rPr>
        <w:t xml:space="preserve"> </w:t>
      </w:r>
      <w:r>
        <w:rPr>
          <w:rStyle w:val="StringTok"/>
        </w:rPr>
        <w:t xml:space="preserve">"sertifikasi-kpbu-biaya-total-siklus-anggaran"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"Sertifikasi KPBU"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"biaya sertifikasi CP3P"</w:t>
      </w:r>
      <w:r>
        <w:rPr>
          <w:rStyle w:val="KeywordTok"/>
        </w:rPr>
        <w:t xml:space="preserve">,</w:t>
      </w:r>
      <w:r>
        <w:rPr>
          <w:rStyle w:val="AttributeTok"/>
        </w:rPr>
        <w:t xml:space="preserve"> </w:t>
      </w:r>
      <w:r>
        <w:rPr>
          <w:rStyle w:val="StringTok"/>
        </w:rPr>
        <w:t xml:space="preserve">"biaya total kepemilikan"</w:t>
      </w:r>
      <w:r>
        <w:rPr>
          <w:rStyle w:val="KeywordTok"/>
        </w:rPr>
        <w:t xml:space="preserve">,</w:t>
      </w:r>
      <w:r>
        <w:rPr>
          <w:rStyle w:val="AttributeTok"/>
        </w:rPr>
        <w:t xml:space="preserve"> </w:t>
      </w:r>
      <w:r>
        <w:rPr>
          <w:rStyle w:val="StringTok"/>
        </w:rPr>
        <w:t xml:space="preserve">"RKA-K/L"</w:t>
      </w:r>
      <w:r>
        <w:rPr>
          <w:rStyle w:val="KeywordTok"/>
        </w:rPr>
        <w:t xml:space="preserve">,</w:t>
      </w:r>
      <w:r>
        <w:rPr>
          <w:rStyle w:val="AttributeTok"/>
        </w:rPr>
        <w:t xml:space="preserve"> </w:t>
      </w:r>
      <w:r>
        <w:rPr>
          <w:rStyle w:val="StringTok"/>
        </w:rPr>
        <w:t xml:space="preserve">"Standar Biaya Masukan (SBM)"</w:t>
      </w:r>
      <w:r>
        <w:rPr>
          <w:rStyle w:val="KeywordTok"/>
        </w:rPr>
        <w:t xml:space="preserve">,</w:t>
      </w:r>
      <w:r>
        <w:rPr>
          <w:rStyle w:val="AttributeTok"/>
        </w:rPr>
        <w:t xml:space="preserve"> </w:t>
      </w:r>
      <w:r>
        <w:rPr>
          <w:rStyle w:val="StringTok"/>
        </w:rPr>
        <w:t xml:space="preserve">"pengembangan kompetensi ASN"</w:t>
      </w:r>
      <w:r>
        <w:rPr>
          <w:rStyle w:val="KeywordTok"/>
        </w:rPr>
        <w:t xml:space="preserve">,</w:t>
      </w:r>
      <w:r>
        <w:rPr>
          <w:rStyle w:val="AttributeTok"/>
        </w:rPr>
        <w:t xml:space="preserve"> </w:t>
      </w:r>
      <w:r>
        <w:rPr>
          <w:rStyle w:val="StringTok"/>
        </w:rPr>
        <w:t xml:space="preserve">"jam pelajaran (JP)"</w:t>
      </w:r>
      <w:r>
        <w:rPr>
          <w:rStyle w:val="KeywordTok"/>
        </w:rPr>
        <w:t xml:space="preserve">,</w:t>
      </w:r>
      <w:r>
        <w:rPr>
          <w:rStyle w:val="AttributeTok"/>
        </w:rPr>
        <w:t xml:space="preserve"> </w:t>
      </w:r>
      <w:r>
        <w:rPr>
          <w:rStyle w:val="StringTok"/>
        </w:rPr>
        <w:t xml:space="preserve">"anggaran pelatihan instansi"</w:t>
      </w:r>
      <w:r>
        <w:rPr>
          <w:rStyle w:val="KeywordTok"/>
        </w:rPr>
        <w:t xml:space="preserve">,</w:t>
      </w:r>
      <w:r>
        <w:rPr>
          <w:rStyle w:val="AttributeTok"/>
        </w:rPr>
        <w:t xml:space="preserve"> </w:t>
      </w:r>
      <w:r>
        <w:rPr>
          <w:rStyle w:val="StringTok"/>
        </w:rPr>
        <w:t xml:space="preserve">"CP3P Foundation"</w:t>
      </w:r>
      <w:r>
        <w:rPr>
          <w:rStyle w:val="KeywordTok"/>
        </w:rPr>
        <w:t xml:space="preserve">,</w:t>
      </w:r>
      <w:r>
        <w:rPr>
          <w:rStyle w:val="AttributeTok"/>
        </w:rPr>
        <w:t xml:space="preserve"> </w:t>
      </w:r>
      <w:r>
        <w:rPr>
          <w:rStyle w:val="StringTok"/>
        </w:rPr>
        <w:t xml:space="preserve">"level Preparation"</w:t>
      </w:r>
      <w:r>
        <w:rPr>
          <w:rStyle w:val="KeywordTok"/>
        </w:rPr>
        <w:t xml:space="preserve">,</w:t>
      </w:r>
      <w:r>
        <w:rPr>
          <w:rStyle w:val="AttributeTok"/>
        </w:rPr>
        <w:t xml:space="preserve"> </w:t>
      </w:r>
      <w:r>
        <w:rPr>
          <w:rStyle w:val="StringTok"/>
        </w:rPr>
        <w:t xml:space="preserve">"level Execution"</w:t>
      </w:r>
      <w:r>
        <w:rPr>
          <w:rStyle w:val="KeywordTok"/>
        </w:rPr>
        <w:t xml:space="preserve">,</w:t>
      </w:r>
      <w:r>
        <w:rPr>
          <w:rStyle w:val="AttributeTok"/>
        </w:rPr>
        <w:t xml:space="preserve"> </w:t>
      </w:r>
      <w:r>
        <w:rPr>
          <w:rStyle w:val="StringTok"/>
        </w:rPr>
        <w:t xml:space="preserve">"pengiriman bertahap"</w:t>
      </w:r>
      <w:r>
        <w:rPr>
          <w:rStyle w:val="KeywordTok"/>
        </w:rPr>
        <w:t xml:space="preserve">,</w:t>
      </w:r>
      <w:r>
        <w:rPr>
          <w:rStyle w:val="AttributeTok"/>
        </w:rPr>
        <w:t xml:space="preserve"> </w:t>
      </w:r>
      <w:r>
        <w:rPr>
          <w:rStyle w:val="StringTok"/>
        </w:rPr>
        <w:t xml:space="preserve">"Accredited Training Organization (ATO)"</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"https://ppp-certification.com/faqs"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"Kebijakan ujian ulang (biaya penuh dibayar lagi), ketersediaan PPP Guide gratis dan kursus daring gratis khusus Foundation"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"https://ppp-certification.com/book-your-exam"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"Pemisahan biaya pelatihan (ATO) dan biaya ujian (APMG); harga ujian dalam mata uang regional; voucher ujian jumlah besar untuk instansi pemerintah dan unit PPP"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"https://jdih.kemenkeu.go.id/dok/pmk-32-tahun-2025"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"PMK No. 32 Tahun 2025 tentang Standar Biaya Masukan TA 2026 sebagai kerangka acuan penyusunan RKA-K/L (nomor, tanggal, dan status berlaku terverifikasi di portal primer; dikutip dalam teks tanpa tautan keluar)"</w:t>
      </w:r>
      <w:r>
        <w:br/>
      </w:r>
      <w:r>
        <w:rPr>
          <w:rStyle w:val="FunctionTok"/>
        </w:rPr>
        <w:t xml:space="preserve">brief_id</w:t>
      </w:r>
      <w:r>
        <w:rPr>
          <w:rStyle w:val="KeywordTok"/>
        </w:rPr>
        <w:t xml:space="preserve">:</w:t>
      </w:r>
      <w:r>
        <w:rPr>
          <w:rStyle w:val="AttributeTok"/>
        </w:rPr>
        <w:t xml:space="preserve"> </w:t>
      </w:r>
      <w:r>
        <w:rPr>
          <w:rStyle w:val="StringTok"/>
        </w:rPr>
        <w:t xml:space="preserve">"sertifikasi-kpbu-02"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1538</w:t>
      </w:r>
    </w:p>
    <w:p>
      <w:r>
        <w:pict>
          <v:rect style="width:0;height:1.5pt" o:hralign="center" o:hrstd="t" o:hr="t"/>
        </w:pict>
      </w:r>
    </w:p>
    <w:bookmarkEnd w:id="16"/>
    <w:bookmarkStart w:id="34" w:name="X44edbed238088c41c862474ec03c3c91a0458bb"/>
    <w:p>
      <w:pPr>
        <w:pStyle w:val="Heading1"/>
      </w:pPr>
      <w:r>
        <w:t xml:space="preserve">Sertifikasi KPBU: Menghitung Biaya Total dan Siklus Anggaran</w:t>
      </w:r>
    </w:p>
    <w:p>
      <w:pPr>
        <w:pStyle w:val="FirstParagraph"/>
      </w:pPr>
      <w:r>
        <w:t xml:space="preserve">Pola ini berulang di banyak instansi: anggaran pelatihan disetujui, satu staf dikirim ke level Foundation, lalu tahun berikutnya tidak ada kelanjutan karena pos anggarannya tidak pernah disiapkan. Penyebabnya bukan kelalaian, melainkan cara menghitung yang keliru sejak awal: keputusan diambil dari harga satu kelas, padahal yang relevan adalah biaya seluruh jalur sampai kredensial penuh, dan jalur itu melintasi lebih dari satu tahun anggaran. Artikel ini membedah biaya total</w:t>
      </w:r>
      <w:r>
        <w:t xml:space="preserve"> </w:t>
      </w:r>
      <w:hyperlink r:id="rId17">
        <w:r>
          <w:rPr>
            <w:rStyle w:val="Hyperlink"/>
          </w:rPr>
          <w:t xml:space="preserve">sertifikasi KPBU</w:t>
        </w:r>
      </w:hyperlink>
      <w:r>
        <w:t xml:space="preserve"> </w:t>
      </w:r>
      <w:r>
        <w:t xml:space="preserve">jalur internasional: rincian per level, tiga skenario pengiriman peserta, dan pemetaannya ke siklus anggaran instansi. Keputusan untuk bersertifikasi diasumsikan sudah diambil.</w:t>
      </w:r>
    </w:p>
    <w:p>
      <w:pPr>
        <w:pStyle w:val="BlockText"/>
      </w:pPr>
      <w:r>
        <w:rPr>
          <w:b/>
          <w:bCs/>
        </w:rPr>
        <w:t xml:space="preserve">Ringkasnya:</w:t>
      </w:r>
      <w:r>
        <w:t xml:space="preserve"> </w:t>
      </w:r>
      <w:r>
        <w:t xml:space="preserve">Biaya total sertifikasi KPBU jalur internasional adalah penjumlahan biaya seluruh level CP3P (</w:t>
      </w:r>
      <w:r>
        <w:rPr>
          <w:i/>
          <w:iCs/>
        </w:rPr>
        <w:t xml:space="preserve">Certified Public-Private Partnership Professional</w:t>
      </w:r>
      <w:r>
        <w:t xml:space="preserve">) sampai kredensial penuh diperoleh, bukan harga satu kelas. Secara indikatif per publikasi 2026, totalnya sekitar Rp 61 juta untuk tiga level (Foundation, Preparation, Execution), ditambah komponen tersembunyi seperti hari kerja yang hilang dan risiko membayar ujian penuh lagi bila harus mengulang.</w:t>
      </w:r>
    </w:p>
    <w:bookmarkStart w:id="19" w:name="X3a05099948d2790a86176b69ec6bada22bad9e0"/>
    <w:p>
      <w:pPr>
        <w:pStyle w:val="Heading2"/>
      </w:pPr>
      <w:r>
        <w:t xml:space="preserve">Apa yang dimaksud biaya total sertifikasi KPBU?</w:t>
      </w:r>
    </w:p>
    <w:p>
      <w:pPr>
        <w:pStyle w:val="FirstParagraph"/>
      </w:pPr>
      <w:r>
        <w:t xml:space="preserve">Biaya total adalah seluruh pengeluaran sampai kredensial diperoleh: biaya pelatihan tiga level, biaya ujian, hari kerja yang hilang selama kelas, kemungkinan biaya perjalanan, dan risiko membayar ujian ulang. Dalam perencanaan anggaran, konsep ini disebut biaya total kepemilikan, dan angkanya selalu lebih besar daripada harga satu kelas.</w:t>
      </w:r>
    </w:p>
    <w:p>
      <w:pPr>
        <w:pStyle w:val="BodyText"/>
      </w:pPr>
      <w:r>
        <w:t xml:space="preserve">Satu catatan istilah:</w:t>
      </w:r>
      <w:r>
        <w:t xml:space="preserve"> </w:t>
      </w:r>
      <w:r>
        <w:t xml:space="preserve">“sertifikasi KPBU”</w:t>
      </w:r>
      <w:r>
        <w:t xml:space="preserve"> </w:t>
      </w:r>
      <w:r>
        <w:t xml:space="preserve">(Kerja Sama Pemerintah dengan Badan Usaha) adalah frasa pencarian, bukan nama kredensial resmi; yang dihitung di sini adalah jalur internasional CP3P milik APMG International.</w:t>
      </w:r>
    </w:p>
    <w:p>
      <w:pPr>
        <w:pStyle w:val="BodyText"/>
      </w:pPr>
      <w:r>
        <w:t xml:space="preserve">Komponen waktu jarang masuk kertas kerja, padahal nyata: dengan durasi indikatif 2026, pelatihan ketiga level menghabiskan sekitar dua belas hari kerja yang tidak bisa dipakai menyiapkan proyek.</w:t>
      </w:r>
    </w:p>
    <w:p>
      <w:pPr>
        <w:pStyle w:val="BodyText"/>
      </w:pPr>
      <w:r>
        <w:t xml:space="preserve">Yang paling sering luput adalah risiko tidak lulus.</w:t>
      </w:r>
    </w:p>
    <w:p>
      <w:pPr>
        <w:pStyle w:val="BodyText"/>
      </w:pPr>
      <w:r>
        <w:t xml:space="preserve">Menurut</w:t>
      </w:r>
      <w:r>
        <w:t xml:space="preserve"> </w:t>
      </w:r>
      <w:hyperlink r:id="rId18">
        <w:r>
          <w:rPr>
            <w:rStyle w:val="Hyperlink"/>
          </w:rPr>
          <w:t xml:space="preserve">FAQ resmi APMG International</w:t>
        </w:r>
      </w:hyperlink>
      <w:r>
        <w:t xml:space="preserve"> </w:t>
      </w:r>
      <w:r>
        <w:t xml:space="preserve">(per akses September 2026), kandidat yang tidak lulus ujian Foundation boleh mengulang kapan saja tanpa batas percobaan, tetapi biaya ujian penuh dibayar lagi setiap kali. Tidak ada tarif ujian ulang berdiskon yang dipublikasikan. Ketentuan itu dinyatakan eksplisit untuk Foundation; tidak ditemukan kebijakan berbeda untuk dua level lanjutan.</w:t>
      </w:r>
    </w:p>
    <w:bookmarkEnd w:id="19"/>
    <w:bookmarkStart w:id="21" w:name="Xb03e9ef7b53f1bd07d258aa5fb0374582d9dd10"/>
    <w:p>
      <w:pPr>
        <w:pStyle w:val="Heading2"/>
      </w:pPr>
      <w:r>
        <w:t xml:space="preserve">Rincian biaya per level dan total jalur penuh</w:t>
      </w:r>
    </w:p>
    <w:p>
      <w:pPr>
        <w:pStyle w:val="FirstParagraph"/>
      </w:pPr>
      <w:r>
        <w:t xml:space="preserve">Angka indikatif yang dipublikasikan untuk pelatihan CP3P di Indonesia per 2026 berada di kisaran Rp 19 juta untuk level CP3P Foundation serta Rp 21 juta masing-masing untuk Preparation dan Execution, sehingga jalur penuh berada di kisaran Rp 61 juta per orang. Angka itu paket gabungan kursus dan ujian, bukan biaya ujian saja.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Cakupan (PPP Guide)</w:t>
            </w:r>
          </w:p>
        </w:tc>
        <w:tc>
          <w:tcPr/>
          <w:p>
            <w:pPr>
              <w:pStyle w:val="Compact"/>
            </w:pPr>
            <w:r>
              <w:t xml:space="preserve">Durasi indikatif</w:t>
            </w:r>
          </w:p>
        </w:tc>
        <w:tc>
          <w:tcPr/>
          <w:p>
            <w:pPr>
              <w:pStyle w:val="Compact"/>
            </w:pPr>
            <w:r>
              <w:t xml:space="preserve">Biaya indikatif 2026</w:t>
            </w:r>
          </w:p>
        </w:tc>
      </w:tr>
      <w:tr>
        <w:tc>
          <w:tcPr/>
          <w:p>
            <w:pPr>
              <w:pStyle w:val="Compact"/>
            </w:pPr>
            <w:r>
              <w:t xml:space="preserve">Foundation</w:t>
            </w:r>
          </w:p>
        </w:tc>
        <w:tc>
          <w:tcPr/>
          <w:p>
            <w:pPr>
              <w:pStyle w:val="Compact"/>
            </w:pPr>
            <w:r>
              <w:t xml:space="preserve">Bab 1 dan glosarium; prasyarat level lanjutan</w:t>
            </w:r>
          </w:p>
        </w:tc>
        <w:tc>
          <w:tcPr/>
          <w:p>
            <w:pPr>
              <w:pStyle w:val="Compact"/>
            </w:pPr>
            <w:r>
              <w:t xml:space="preserve">±2 hari, termasuk sesi ujian</w:t>
            </w:r>
          </w:p>
        </w:tc>
        <w:tc>
          <w:tcPr/>
          <w:p>
            <w:pPr>
              <w:pStyle w:val="Compact"/>
            </w:pPr>
            <w:r>
              <w:t xml:space="preserve">Rp 19.000.000</w:t>
            </w:r>
          </w:p>
        </w:tc>
      </w:tr>
      <w:tr>
        <w:tc>
          <w:tcPr/>
          <w:p>
            <w:pPr>
              <w:pStyle w:val="Compact"/>
            </w:pPr>
            <w:r>
              <w:t xml:space="preserve">Preparation</w:t>
            </w:r>
          </w:p>
        </w:tc>
        <w:tc>
          <w:tcPr/>
          <w:p>
            <w:pPr>
              <w:pStyle w:val="Compact"/>
            </w:pPr>
            <w:r>
              <w:t xml:space="preserve">Bab 2–5; penyiapan proyek</w:t>
            </w:r>
          </w:p>
        </w:tc>
        <w:tc>
          <w:tcPr/>
          <w:p>
            <w:pPr>
              <w:pStyle w:val="Compact"/>
            </w:pPr>
            <w:r>
              <w:t xml:space="preserve">±5 hari</w:t>
            </w:r>
          </w:p>
        </w:tc>
        <w:tc>
          <w:tcPr/>
          <w:p>
            <w:pPr>
              <w:pStyle w:val="Compact"/>
            </w:pPr>
            <w:r>
              <w:t xml:space="preserve">Rp 21.000.000</w:t>
            </w:r>
          </w:p>
        </w:tc>
      </w:tr>
      <w:tr>
        <w:tc>
          <w:tcPr/>
          <w:p>
            <w:pPr>
              <w:pStyle w:val="Compact"/>
            </w:pPr>
            <w:r>
              <w:t xml:space="preserve">Execution</w:t>
            </w:r>
          </w:p>
        </w:tc>
        <w:tc>
          <w:tcPr/>
          <w:p>
            <w:pPr>
              <w:pStyle w:val="Compact"/>
            </w:pPr>
            <w:r>
              <w:t xml:space="preserve">Bab 5 ke atas (berbeda antarversi PPP Guide)</w:t>
            </w:r>
          </w:p>
        </w:tc>
        <w:tc>
          <w:tcPr/>
          <w:p>
            <w:pPr>
              <w:pStyle w:val="Compact"/>
            </w:pPr>
            <w:r>
              <w:t xml:space="preserve">±5 hari</w:t>
            </w:r>
          </w:p>
        </w:tc>
        <w:tc>
          <w:tcPr/>
          <w:p>
            <w:pPr>
              <w:pStyle w:val="Compact"/>
            </w:pPr>
            <w:r>
              <w:t xml:space="preserve">Rp 21.000.000</w:t>
            </w:r>
          </w:p>
        </w:tc>
      </w:tr>
      <w:tr>
        <w:tc>
          <w:tcPr/>
          <w:p>
            <w:pPr>
              <w:pStyle w:val="Compact"/>
            </w:pPr>
            <w:r>
              <w:rPr>
                <w:b/>
                <w:bCs/>
              </w:rPr>
              <w:t xml:space="preserve">Total jalur penuh</w:t>
            </w:r>
          </w:p>
        </w:tc>
        <w:tc>
          <w:tcPr/>
          <w:p>
            <w:pPr>
              <w:pStyle w:val="Compact"/>
            </w:pPr>
            <w:r>
              <w:t xml:space="preserve">Ketiga level</w:t>
            </w:r>
          </w:p>
        </w:tc>
        <w:tc>
          <w:tcPr/>
          <w:p>
            <w:pPr>
              <w:pStyle w:val="Compact"/>
            </w:pPr>
            <w:r>
              <w:t xml:space="preserve">±12 hari kerja</w:t>
            </w:r>
          </w:p>
        </w:tc>
        <w:tc>
          <w:tcPr/>
          <w:p>
            <w:pPr>
              <w:pStyle w:val="Compact"/>
            </w:pPr>
            <w:r>
              <w:rPr>
                <w:b/>
                <w:bCs/>
              </w:rPr>
              <w:t xml:space="preserve">Rp 61.000.000</w:t>
            </w:r>
          </w:p>
        </w:tc>
      </w:tr>
    </w:tbl>
    <w:p>
      <w:pPr>
        <w:pStyle w:val="BodyText"/>
      </w:pPr>
      <w:r>
        <w:rPr>
          <w:i/>
          <w:iCs/>
        </w:rPr>
        <w:t xml:space="preserve">Seluruh angka indikatif per publikasi 2026 dan dapat berubah; besarannya bergantung metode pelaksanaan (tatap muka, daring, in-house). Periksa angka terkini di halaman resmi penyelenggara.</w:t>
      </w:r>
    </w:p>
    <w:p>
      <w:pPr>
        <w:pStyle w:val="BodyText"/>
      </w:pPr>
      <w:r>
        <w:t xml:space="preserve">Pelatihan CP3P diselenggarakan penyelenggara berstatus</w:t>
      </w:r>
      <w:r>
        <w:t xml:space="preserve"> </w:t>
      </w:r>
      <w:r>
        <w:rPr>
          <w:i/>
          <w:iCs/>
        </w:rPr>
        <w:t xml:space="preserve">Accredited Training Organization</w:t>
      </w:r>
      <w:r>
        <w:t xml:space="preserve"> </w:t>
      </w:r>
      <w:r>
        <w:t xml:space="preserve">(ATO) APMG, dan yang dipublikasikan umumnya harga paket. Padahal paket pelatihan dan biaya ujian merupakan dua aliran biaya yang bisa dipisahkan:</w:t>
      </w:r>
    </w:p>
    <w:p>
      <w:pPr>
        <w:pStyle w:val="Compact"/>
        <w:numPr>
          <w:ilvl w:val="0"/>
          <w:numId w:val="1001"/>
        </w:numPr>
      </w:pPr>
      <w:r>
        <w:rPr>
          <w:b/>
          <w:bCs/>
        </w:rPr>
        <w:t xml:space="preserve">Paket dari penyelenggara terakreditasi</w:t>
      </w:r>
      <w:r>
        <w:t xml:space="preserve">: satu tagihan untuk kursus dan ujian, Rp 19–21 juta per level (indikatif 2026).</w:t>
      </w:r>
    </w:p>
    <w:p>
      <w:pPr>
        <w:pStyle w:val="Compact"/>
        <w:numPr>
          <w:ilvl w:val="0"/>
          <w:numId w:val="1001"/>
        </w:numPr>
      </w:pPr>
      <w:r>
        <w:rPr>
          <w:b/>
          <w:bCs/>
        </w:rPr>
        <w:t xml:space="preserve">Ujian mandiri langsung ke APMG</w:t>
      </w:r>
      <w:r>
        <w:t xml:space="preserve">: harga ditampilkan dalam mata uang regional dan berbeda antarnegara, lewat</w:t>
      </w:r>
      <w:r>
        <w:t xml:space="preserve"> </w:t>
      </w:r>
      <w:hyperlink r:id="rId20">
        <w:r>
          <w:rPr>
            <w:rStyle w:val="Hyperlink"/>
          </w:rPr>
          <w:t xml:space="preserve">platform pemesanan ujian resmi APMG</w:t>
        </w:r>
      </w:hyperlink>
      <w:r>
        <w:t xml:space="preserve"> </w:t>
      </w:r>
      <w:r>
        <w:t xml:space="preserve">(akses September 2026).</w:t>
      </w:r>
    </w:p>
    <w:p>
      <w:pPr>
        <w:pStyle w:val="Compact"/>
        <w:numPr>
          <w:ilvl w:val="0"/>
          <w:numId w:val="1001"/>
        </w:numPr>
      </w:pPr>
      <w:r>
        <w:rPr>
          <w:b/>
          <w:bCs/>
        </w:rPr>
        <w:t xml:space="preserve">Voucher ujian jumlah besar</w:t>
      </w:r>
      <w:r>
        <w:t xml:space="preserve">: ada potongan harga bagi organisasi yang memenuhi syarat, disebut eksplisit mencakup instansi pemerintah dan unit PPP. Besaran diskonnya tidak dipublikasikan, jadi tanyakan langsung ke APMG.</w:t>
      </w:r>
    </w:p>
    <w:p>
      <w:pPr>
        <w:pStyle w:val="FirstParagraph"/>
      </w:pPr>
      <w:r>
        <w:t xml:space="preserve">Sebagai konteks, biaya skema sertifikasi kompetensi nasional bidang KPBU tidak ditemukan dipublikasikan secara terbuka, sehingga perbandingan besaran antarjalur tidak bisa disajikan secara jujur di sini.</w:t>
      </w:r>
    </w:p>
    <w:bookmarkEnd w:id="21"/>
    <w:bookmarkStart w:id="22" w:name="Xcfe44e140d873b67545f6c9ecdf11aeb95fe635"/>
    <w:p>
      <w:pPr>
        <w:pStyle w:val="Heading2"/>
      </w:pPr>
      <w:r>
        <w:t xml:space="preserve">Lebih baik menuntaskan satu orang atau mengirim beberapa orang ke level dasar?</w:t>
      </w:r>
    </w:p>
    <w:p>
      <w:pPr>
        <w:pStyle w:val="FirstParagraph"/>
      </w:pPr>
      <w:r>
        <w:t xml:space="preserve">Tidak ada jawaban tunggal, dan totalnya nyaris sama. Menuntaskan tiga level pada satu orang menghabiskan sekitar Rp 61 juta dan menghasilkan satu kredensial CP3P penuh; mengirim tiga orang sampai Foundation menghabiskan sekitar Rp 57 juta tanpa menghasilkan satu pun kredensial penuh (indikatif 2026). Pilihannya soal kedalaman versus sebaran.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Skenario</w:t>
            </w:r>
          </w:p>
        </w:tc>
        <w:tc>
          <w:tcPr/>
          <w:p>
            <w:pPr>
              <w:pStyle w:val="Compact"/>
            </w:pPr>
            <w:r>
              <w:t xml:space="preserve">Perhitungan (indikatif 2026)</w:t>
            </w:r>
          </w:p>
        </w:tc>
        <w:tc>
          <w:tcPr/>
          <w:p>
            <w:pPr>
              <w:pStyle w:val="Compact"/>
            </w:pPr>
            <w:r>
              <w:t xml:space="preserve">Total</w:t>
            </w:r>
          </w:p>
        </w:tc>
        <w:tc>
          <w:tcPr/>
          <w:p>
            <w:pPr>
              <w:pStyle w:val="Compact"/>
            </w:pPr>
            <w:r>
              <w:t xml:space="preserve">Hasil</w:t>
            </w:r>
          </w:p>
        </w:tc>
      </w:tr>
      <w:tr>
        <w:tc>
          <w:tcPr/>
          <w:p>
            <w:pPr>
              <w:pStyle w:val="Compact"/>
            </w:pPr>
            <w:r>
              <w:t xml:space="preserve">A. Satu orang, tiga level</w:t>
            </w:r>
          </w:p>
        </w:tc>
        <w:tc>
          <w:tcPr/>
          <w:p>
            <w:pPr>
              <w:pStyle w:val="Compact"/>
            </w:pPr>
            <w:r>
              <w:t xml:space="preserve">19 + 21 + 21 juta</w:t>
            </w:r>
          </w:p>
        </w:tc>
        <w:tc>
          <w:tcPr/>
          <w:p>
            <w:pPr>
              <w:pStyle w:val="Compact"/>
            </w:pPr>
            <w:r>
              <w:t xml:space="preserve">Rp 61.000.000</w:t>
            </w:r>
          </w:p>
        </w:tc>
        <w:tc>
          <w:tcPr/>
          <w:p>
            <w:pPr>
              <w:pStyle w:val="Compact"/>
            </w:pPr>
            <w:r>
              <w:t xml:space="preserve">Satu kredensial CP3P penuh; kompetensi di satu orang</w:t>
            </w:r>
          </w:p>
        </w:tc>
      </w:tr>
      <w:tr>
        <w:tc>
          <w:tcPr/>
          <w:p>
            <w:pPr>
              <w:pStyle w:val="Compact"/>
            </w:pPr>
            <w:r>
              <w:t xml:space="preserve">B. Tiga orang, berhenti di Foundation</w:t>
            </w:r>
          </w:p>
        </w:tc>
        <w:tc>
          <w:tcPr/>
          <w:p>
            <w:pPr>
              <w:pStyle w:val="Compact"/>
            </w:pPr>
            <w:r>
              <w:t xml:space="preserve">3 × 19 juta</w:t>
            </w:r>
          </w:p>
        </w:tc>
        <w:tc>
          <w:tcPr/>
          <w:p>
            <w:pPr>
              <w:pStyle w:val="Compact"/>
            </w:pPr>
            <w:r>
              <w:t xml:space="preserve">Rp 57.000.000</w:t>
            </w:r>
          </w:p>
        </w:tc>
        <w:tc>
          <w:tcPr/>
          <w:p>
            <w:pPr>
              <w:pStyle w:val="Compact"/>
            </w:pPr>
            <w:r>
              <w:t xml:space="preserve">Tanpa kredensial penuh; tiga orang paham konsep dasar</w:t>
            </w:r>
          </w:p>
        </w:tc>
      </w:tr>
      <w:tr>
        <w:tc>
          <w:tcPr/>
          <w:p>
            <w:pPr>
              <w:pStyle w:val="Compact"/>
            </w:pPr>
            <w:r>
              <w:t xml:space="preserve">C. Pengiriman bertahap, satu orang, dua tahun</w:t>
            </w:r>
          </w:p>
        </w:tc>
        <w:tc>
          <w:tcPr/>
          <w:p>
            <w:pPr>
              <w:pStyle w:val="Compact"/>
            </w:pPr>
            <w:r>
              <w:t xml:space="preserve">Tahun ke-1: 19 juta; tahun ke-2: 42 juta</w:t>
            </w:r>
          </w:p>
        </w:tc>
        <w:tc>
          <w:tcPr/>
          <w:p>
            <w:pPr>
              <w:pStyle w:val="Compact"/>
            </w:pPr>
            <w:r>
              <w:t xml:space="preserve">Rp 61.000.000, terbagi dua tahun</w:t>
            </w:r>
          </w:p>
        </w:tc>
        <w:tc>
          <w:tcPr/>
          <w:p>
            <w:pPr>
              <w:pStyle w:val="Compact"/>
            </w:pPr>
            <w:r>
              <w:t xml:space="preserve">Kredensial penuh akhir tahun ke-2; beban tahunan lebih ringan</w:t>
            </w:r>
          </w:p>
        </w:tc>
      </w:tr>
    </w:tbl>
    <w:p>
      <w:pPr>
        <w:pStyle w:val="BodyText"/>
      </w:pPr>
      <w:r>
        <w:t xml:space="preserve">Perbedaannya bukan pada total, melainkan pada apa yang tersisa di instansi. APMG mensyaratkan kelulusan ketiga ujian sebelum seseorang berhak menyandang kredensial CP3P, jadi skenario B tidak menghasilkan pemegang kredensial; sebaliknya, pemegang tunggal membuat kapasitas instansi bergantung pada satu orang. Skenario C mengasumsikan orang yang sama melanjutkan di tahun kedua; bila dua orang berbeda yang dikirim, keduanya harus lulus Foundation lebih dulu.</w:t>
      </w:r>
    </w:p>
    <w:bookmarkEnd w:id="22"/>
    <w:bookmarkStart w:id="24" w:name="X24463827d647b3bedd6f0fe4df9c403214ed057"/>
    <w:p>
      <w:pPr>
        <w:pStyle w:val="Heading2"/>
      </w:pPr>
      <w:r>
        <w:t xml:space="preserve">Memetakan kebutuhan ini ke siklus anggaran instansi</w:t>
      </w:r>
    </w:p>
    <w:p>
      <w:pPr>
        <w:pStyle w:val="FirstParagraph"/>
      </w:pPr>
      <w:r>
        <w:t xml:space="preserve">Mulailah dari tahun anggaran sasaran, lalu hitung mundur ke jadwal penyusunan Rencana Kerja dan Anggaran instansi. Sertifikasi berjenjang praktis tidak bisa diusulkan mendadak di tengah tahun; ia perlu masuk sebagai kebutuhan kompetensi yang direncanakan, dengan argumen yang menautkannya ke proyek nyata.</w:t>
      </w:r>
    </w:p>
    <w:p>
      <w:pPr>
        <w:pStyle w:val="Compact"/>
        <w:numPr>
          <w:ilvl w:val="0"/>
          <w:numId w:val="1002"/>
        </w:numPr>
      </w:pPr>
      <w:r>
        <w:rPr>
          <w:b/>
          <w:bCs/>
        </w:rPr>
        <w:t xml:space="preserve">Tetapkan tahun anggaran sasaran.</w:t>
      </w:r>
      <w:r>
        <w:t xml:space="preserve"> </w:t>
      </w:r>
      <w:r>
        <w:t xml:space="preserve">Hitung mundur dari kapan kompetensi itu dibutuhkan proyek, lalu sesuaikan dengan kalender penyusunan anggaran instansi Anda.</w:t>
      </w:r>
    </w:p>
    <w:p>
      <w:pPr>
        <w:pStyle w:val="Compact"/>
        <w:numPr>
          <w:ilvl w:val="0"/>
          <w:numId w:val="1002"/>
        </w:numPr>
      </w:pPr>
      <w:r>
        <w:rPr>
          <w:b/>
          <w:bCs/>
        </w:rPr>
        <w:t xml:space="preserve">Periksa pos dan mekanismenya.</w:t>
      </w:r>
      <w:r>
        <w:t xml:space="preserve"> </w:t>
      </w:r>
      <w:r>
        <w:t xml:space="preserve">Standar Biaya Masukan (SBM) untuk Tahun Anggaran 2026 ditetapkan melalui PMK No. 32 Tahun 2025 (berlaku 20 Mei 2025, status berlaku di JDIH Kemenkeu). SBM adalah kerangka acuan penyusunan Rencana Kerja dan Anggaran Kementerian/Lembaga (RKA-K/L), bukan daftar yang memuat pos bernama sertifikasi CP3P.</w:t>
      </w:r>
    </w:p>
    <w:p>
      <w:pPr>
        <w:pStyle w:val="Compact"/>
        <w:numPr>
          <w:ilvl w:val="0"/>
          <w:numId w:val="1002"/>
        </w:numPr>
      </w:pPr>
      <w:r>
        <w:rPr>
          <w:b/>
          <w:bCs/>
        </w:rPr>
        <w:t xml:space="preserve">Tautkan ke pengembangan kompetensi ASN.</w:t>
      </w:r>
      <w:r>
        <w:t xml:space="preserve"> </w:t>
      </w:r>
      <w:r>
        <w:t xml:space="preserve">Angka 20 jam pelajaran (JP) per tahun dikutip berbagai instansi pemerintah, termasuk Badan Kepegawaian Negara, sebagai acuan umum (penelusuran 2026): hak sekaligus tanggung jawab pegawai yang diatur peraturan kepegawaian tentang Manajemen Pegawai Negeri Sipil.</w:t>
      </w:r>
    </w:p>
    <w:p>
      <w:pPr>
        <w:pStyle w:val="Compact"/>
        <w:numPr>
          <w:ilvl w:val="0"/>
          <w:numId w:val="1002"/>
        </w:numPr>
      </w:pPr>
      <w:r>
        <w:rPr>
          <w:b/>
          <w:bCs/>
        </w:rPr>
        <w:t xml:space="preserve">Rencanakan lintas tahun.</w:t>
      </w:r>
      <w:r>
        <w:t xml:space="preserve"> </w:t>
      </w:r>
      <w:r>
        <w:t xml:space="preserve">Satu tahun anggaran sering tidak cukup menampung Rp 61 juta per orang (indikatif 2026); pecah jalurnya seperti skenario C dan cantumkan kelanjutannya di dokumen perencanaan.</w:t>
      </w:r>
    </w:p>
    <w:p>
      <w:pPr>
        <w:pStyle w:val="Compact"/>
        <w:numPr>
          <w:ilvl w:val="0"/>
          <w:numId w:val="1002"/>
        </w:numPr>
      </w:pPr>
      <w:r>
        <w:rPr>
          <w:b/>
          <w:bCs/>
        </w:rPr>
        <w:t xml:space="preserve">Bangun argumen berbasis proyek.</w:t>
      </w:r>
      <w:r>
        <w:t xml:space="preserve"> </w:t>
      </w:r>
      <w:r>
        <w:t xml:space="preserve">Usulan lebih mudah dipertahankan bila dikaitkan dengan proyek yang benar-benar akan disiapkan;</w:t>
      </w:r>
      <w:r>
        <w:t xml:space="preserve"> </w:t>
      </w:r>
      <w:hyperlink r:id="rId23">
        <w:r>
          <w:rPr>
            <w:rStyle w:val="Hyperlink"/>
          </w:rPr>
          <w:t xml:space="preserve">studi kasus proyek infrastruktur di Indonesia</w:t>
        </w:r>
      </w:hyperlink>
      <w:r>
        <w:t xml:space="preserve"> </w:t>
      </w:r>
      <w:r>
        <w:t xml:space="preserve">berguna sebagai rujukan pembanding.</w:t>
      </w:r>
    </w:p>
    <w:p>
      <w:pPr>
        <w:pStyle w:val="FirstParagraph"/>
      </w:pPr>
      <w:r>
        <w:t xml:space="preserve">Mekanisme teknisnya berbeda antarkementerian, lembaga, dan pemerintah daerah. Nama pos, akun belanja, dan opsi pembiayaan bertahap yang tersedia perlu ditanyakan langsung ke unit perencanaan instansi Anda sendiri.</w:t>
      </w:r>
    </w:p>
    <w:bookmarkEnd w:id="24"/>
    <w:bookmarkStart w:id="26" w:name="X2dc5880891e8093cf08ae31c5eed15a6470872c"/>
    <w:p>
      <w:pPr>
        <w:pStyle w:val="Heading2"/>
      </w:pPr>
      <w:r>
        <w:t xml:space="preserve">Bagian jalur ini yang sebenarnya tidak berbiaya</w:t>
      </w:r>
    </w:p>
    <w:p>
      <w:pPr>
        <w:pStyle w:val="FirstParagraph"/>
      </w:pPr>
      <w:r>
        <w:t xml:space="preserve">Sebagian jalur belajar CP3P memang gratis. APMG menyatakan PPP Guide, rujukan seluruh ujian, tersedia sebagai unduhan gratis, dan menyediakan satu kursus daring gratis untuk persiapan ujian Foundation. Tidak ada kursus daring gratis untuk level Preparation maupun Execution (APMG International, per akses September 2026).</w:t>
      </w:r>
    </w:p>
    <w:p>
      <w:pPr>
        <w:pStyle w:val="BodyText"/>
      </w:pPr>
      <w:r>
        <w:t xml:space="preserve">Konsekuensi anggarannya dua arah. Pemahaman awal bisa dibangun sebelum satu rupiah pun dianggarkan, sehingga usulan disusun orang yang sudah tahu isi materinya. Sisi lainnya, beban anggaran memang menumpuk di dua level lanjutan — tepat di bagian yang tidak punya versi gratis.</w:t>
      </w:r>
    </w:p>
    <w:p>
      <w:pPr>
        <w:pStyle w:val="BodyText"/>
      </w:pPr>
      <w:r>
        <w:t xml:space="preserve">Ada kesimpulan yang kurang nyaman tetapi jujur: untuk sebagian instansi, terutama yang timnya belum pernah menyiapkan proyek sampai tahap transaksi,</w:t>
      </w:r>
      <w:r>
        <w:t xml:space="preserve"> </w:t>
      </w:r>
      <w:hyperlink r:id="rId25">
        <w:r>
          <w:rPr>
            <w:rStyle w:val="Hyperlink"/>
          </w:rPr>
          <w:t xml:space="preserve">Capacity Building pembiayaan kreatif</w:t>
        </w:r>
      </w:hyperlink>
      <w:r>
        <w:t xml:space="preserve"> </w:t>
      </w:r>
      <w:r>
        <w:t xml:space="preserve">untuk tim lebih masuk akal per rupiah daripada satu kredensial individual.</w:t>
      </w:r>
    </w:p>
    <w:bookmarkEnd w:id="26"/>
    <w:bookmarkStart w:id="32" w:name="faq-pertanyaan-yang-sering-diajukan"/>
    <w:p>
      <w:pPr>
        <w:pStyle w:val="Heading2"/>
      </w:pPr>
      <w:r>
        <w:t xml:space="preserve">FAQ (Pertanyaan yang Sering Diajukan)</w:t>
      </w:r>
    </w:p>
    <w:bookmarkStart w:id="27" w:name="X066a2a84de51e31847b0cfb69b1c0aa6a9ab06a"/>
    <w:p>
      <w:pPr>
        <w:pStyle w:val="Heading3"/>
      </w:pPr>
      <w:r>
        <w:t xml:space="preserve">Berapa total biaya sertifikasi CP3P untuk ketiga level?</w:t>
      </w:r>
    </w:p>
    <w:p>
      <w:pPr>
        <w:pStyle w:val="FirstParagraph"/>
      </w:pPr>
      <w:r>
        <w:t xml:space="preserve">Secara indikatif per publikasi 2026, pelatihan ketiga level berkisar Rp 61 juta per orang: Rp 19 juta untuk Foundation, serta Rp 21 juta masing-masing untuk Preparation dan Execution. Angka ini paket gabungan kursus dan ujian, dapat berubah, dan perlu dipastikan ke halaman resmi penyelenggara.</w:t>
      </w:r>
    </w:p>
    <w:bookmarkEnd w:id="27"/>
    <w:bookmarkStart w:id="28" w:name="apakah-biaya-cp3p-sudah-termasuk-ujian"/>
    <w:p>
      <w:pPr>
        <w:pStyle w:val="Heading3"/>
      </w:pPr>
      <w:r>
        <w:t xml:space="preserve">Apakah biaya CP3P sudah termasuk ujian?</w:t>
      </w:r>
    </w:p>
    <w:p>
      <w:pPr>
        <w:pStyle w:val="FirstParagraph"/>
      </w:pPr>
      <w:r>
        <w:t xml:space="preserve">Bergantung jalurnya. Paket dari penyelenggara terakreditasi umumnya menggabungkan kursus dan ujian dalam satu angka. Namun APMG International juga membuka pendaftaran ujian mandiri lewat platform pemesanannya sendiri, dengan harga dalam mata uang regional sesuai negara tempat ujian diambil. Dua komponen ini kerap tertukar.</w:t>
      </w:r>
    </w:p>
    <w:bookmarkEnd w:id="28"/>
    <w:bookmarkStart w:id="29" w:name="X14b711759ac710c921a1daecef4a1c3f9df6508"/>
    <w:p>
      <w:pPr>
        <w:pStyle w:val="Heading3"/>
      </w:pPr>
      <w:r>
        <w:t xml:space="preserve">Apakah materi gratis CP3P bisa memotong anggaran pelatihan?</w:t>
      </w:r>
    </w:p>
    <w:p>
      <w:pPr>
        <w:pStyle w:val="FirstParagraph"/>
      </w:pPr>
      <w:r>
        <w:t xml:space="preserve">Hanya sebagian, dan hanya di awal jalur. APMG menyatakan PPP Guide tersedia sebagai unduhan gratis dan menyediakan satu kursus daring gratis khusus persiapan ujian Foundation, tetapi tidak ada kursus daring gratis untuk Preparation maupun Execution (akses September 2026). Dua level lanjutan itu, sekitar Rp 42 juta dari total Rp 61 juta (indikatif 2026), tidak punya jalur persiapan gratis sama sekali.</w:t>
      </w:r>
    </w:p>
    <w:bookmarkEnd w:id="29"/>
    <w:bookmarkStart w:id="30" w:name="Xefddc0eabedbaf48aa6e035fe133eb7ff771453"/>
    <w:p>
      <w:pPr>
        <w:pStyle w:val="Heading3"/>
      </w:pPr>
      <w:r>
        <w:t xml:space="preserve">Bisakah biaya sertifikasi dianggarkan lintas tahun anggaran?</w:t>
      </w:r>
    </w:p>
    <w:p>
      <w:pPr>
        <w:pStyle w:val="FirstParagraph"/>
      </w:pPr>
      <w:r>
        <w:t xml:space="preserve">Bisa, dan sering memang diperlukan karena Rp 61 juta per orang (indikatif 2026) jarang tertampung dalam satu pos anggaran. Pola umumnya: Foundation di tahun pertama, Preparation dan Execution di tahun berikutnya. Mekanisme teknisnya berbeda antarinstansi, jadi konfirmasikan ke unit perencanaan Anda.</w:t>
      </w:r>
    </w:p>
    <w:bookmarkEnd w:id="30"/>
    <w:bookmarkStart w:id="31" w:name="X30d7baea13c799b1862c529c6c44431f4cc6c40"/>
    <w:p>
      <w:pPr>
        <w:pStyle w:val="Heading3"/>
      </w:pPr>
      <w:r>
        <w:t xml:space="preserve">Apa yang terjadi jika peserta tidak lulus ujian?</w:t>
      </w:r>
    </w:p>
    <w:p>
      <w:pPr>
        <w:pStyle w:val="FirstParagraph"/>
      </w:pPr>
      <w:r>
        <w:t xml:space="preserve">Menurut FAQ resmi APMG International, kandidat yang tidak lulus ujian Foundation boleh mengulang kapan saja tanpa batas jumlah percobaan, tetapi biaya ujian penuh dibayar lagi setiap percobaan. Tidak ada tarif ujian ulang berdiskon yang dipublikasikan, sehingga risiko ini layak masuk perhitungan anggaran.</w:t>
      </w:r>
    </w:p>
    <w:bookmarkEnd w:id="31"/>
    <w:bookmarkEnd w:id="32"/>
    <w:bookmarkStart w:id="33" w:name="kesimpulan"/>
    <w:p>
      <w:pPr>
        <w:pStyle w:val="Heading2"/>
      </w:pPr>
      <w:r>
        <w:t xml:space="preserve">Kesimpulan</w:t>
      </w:r>
    </w:p>
    <w:p>
      <w:pPr>
        <w:pStyle w:val="FirstParagraph"/>
      </w:pPr>
      <w:r>
        <w:t xml:space="preserve">Kembali ke pola di awal: satu orang dikirim, lalu jalurnya berhenti. Yang mencegahnya bukan anggaran yang lebih besar, melainkan angka yang dihitung utuh sejak awal, termasuk level lanjutan, risiko ujian ulang, dan hari kerja yang hilang. IIGF Institute, unit manajemen pengetahuan PT Penjaminan Infrastruktur Indonesia (Persero) di bidang penjaminan dan pembiayaan infrastruktur, merupakan</w:t>
      </w:r>
      <w:r>
        <w:t xml:space="preserve"> </w:t>
      </w:r>
      <w:r>
        <w:rPr>
          <w:i/>
          <w:iCs/>
        </w:rPr>
        <w:t xml:space="preserve">Accredited Training Organization</w:t>
      </w:r>
      <w:r>
        <w:t xml:space="preserve"> </w:t>
      </w:r>
      <w:r>
        <w:t xml:space="preserve">APMG pertama di Indonesia untuk program Sertifikasi CP3P; APMG International sendiri yang memiliki, menguji, dan menganugerahkan kredensialnya. Bila instansi Anda sedang menyusun angka untuk sertifikasi KPBU tahun anggaran berikutnya, memastikan skema pelaksanaan dan biaya indikatif terkini adalah langkah paling menghemat waktu.</w:t>
      </w:r>
    </w:p>
    <w:p>
      <w:pPr>
        <w:pStyle w:val="BodyText"/>
      </w:pPr>
      <w:r>
        <w:t xml:space="preserve">Rincian program pelatihan dan publikasi KPBU dapat Anda telusuri di institute.iigf.co.id sebelum angka anggaran dikunci.</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institute.iigf.co.id/" TargetMode="External" /><Relationship Type="http://schemas.openxmlformats.org/officeDocument/2006/relationships/hyperlink" Id="rId25" Target="https://institute.iigf.co.id/capacity-building" TargetMode="External" /><Relationship Type="http://schemas.openxmlformats.org/officeDocument/2006/relationships/hyperlink" Id="rId23" Target="https://institute.iigf.co.id/e-library/lainnya/77/studi-kasus-kpbu-untuk-penguatan-infrastruktur-digital-dan-informasi" TargetMode="External" /><Relationship Type="http://schemas.openxmlformats.org/officeDocument/2006/relationships/hyperlink" Id="rId20" Target="https://ppp-certification.com/book-your-exam" TargetMode="External" /><Relationship Type="http://schemas.openxmlformats.org/officeDocument/2006/relationships/hyperlink" Id="rId18" Target="https://ppp-certification.com/faqs" TargetMode="External" /></Relationships>
</file>

<file path=word/_rels/footnotes.xml.rels><?xml version="1.0" encoding="UTF-8"?><Relationships xmlns="http://schemas.openxmlformats.org/package/2006/relationships"><Relationship Type="http://schemas.openxmlformats.org/officeDocument/2006/relationships/hyperlink" Id="rId17" Target="https://institute.iigf.co.id/" TargetMode="External" /><Relationship Type="http://schemas.openxmlformats.org/officeDocument/2006/relationships/hyperlink" Id="rId25" Target="https://institute.iigf.co.id/capacity-building" TargetMode="External" /><Relationship Type="http://schemas.openxmlformats.org/officeDocument/2006/relationships/hyperlink" Id="rId23" Target="https://institute.iigf.co.id/e-library/lainnya/77/studi-kasus-kpbu-untuk-penguatan-infrastruktur-digital-dan-informasi" TargetMode="External" /><Relationship Type="http://schemas.openxmlformats.org/officeDocument/2006/relationships/hyperlink" Id="rId20" Target="https://ppp-certification.com/book-your-exam" TargetMode="External" /><Relationship Type="http://schemas.openxmlformats.org/officeDocument/2006/relationships/hyperlink" Id="rId18" Target="https://ppp-certification.com/faq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2026-09-21T23:58:47Z</dcterms:created>
  <dcterms:modified xsi:type="dcterms:W3CDTF">2026-09-21T23:58:47Z</dcterms:modified>
</cp:coreProperties>
</file>

<file path=docProps/custom.xml><?xml version="1.0" encoding="utf-8"?>
<Properties xmlns="http://schemas.openxmlformats.org/officeDocument/2006/custom-properties" xmlns:vt="http://schemas.openxmlformats.org/officeDocument/2006/docPropsVTypes"/>
</file>