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"Sertifikasi KPBU: Masa Berlaku dan Ilmu yang Menguap"</w:t>
      </w:r>
      <w:r>
        <w:br/>
      </w:r>
      <w:r>
        <w:rPr>
          <w:rStyle w:val="FunctionTok"/>
        </w:rPr>
        <w:t xml:space="preserve">meta_title</w:t>
      </w:r>
      <w:r>
        <w:rPr>
          <w:rStyle w:val="KeywordTok"/>
        </w:rPr>
        <w:t xml:space="preserve">:</w:t>
      </w:r>
      <w:r>
        <w:rPr>
          <w:rStyle w:val="AttributeTok"/>
        </w:rPr>
        <w:t xml:space="preserve"> </w:t>
      </w:r>
      <w:r>
        <w:rPr>
          <w:rStyle w:val="StringTok"/>
        </w:rPr>
        <w:t xml:space="preserve">"Sertifikasi KPBU: Masa Berlaku &amp; Ilmu yang Menguap"</w:t>
      </w:r>
      <w:r>
        <w:br/>
      </w:r>
      <w:r>
        <w:rPr>
          <w:rStyle w:val="FunctionTok"/>
        </w:rPr>
        <w:t xml:space="preserve">meta_description</w:t>
      </w:r>
      <w:r>
        <w:rPr>
          <w:rStyle w:val="KeywordTok"/>
        </w:rPr>
        <w:t xml:space="preserve">:</w:t>
      </w:r>
      <w:r>
        <w:rPr>
          <w:rStyle w:val="AttributeTok"/>
        </w:rPr>
        <w:t xml:space="preserve"> </w:t>
      </w:r>
      <w:r>
        <w:rPr>
          <w:rStyle w:val="StringTok"/>
        </w:rPr>
        <w:t xml:space="preserve">"Sertifikasi KPBU tak wajib resertifikasi menurut APMG, tapi PPP Guide diperbarui. Tiga pola peluruhan pengetahuan pasca-pelatihan dan langkah menjaganya."</w:t>
      </w:r>
      <w:r>
        <w:br/>
      </w:r>
      <w:r>
        <w:rPr>
          <w:rStyle w:val="FunctionTok"/>
        </w:rPr>
        <w:t xml:space="preserve">slug</w:t>
      </w:r>
      <w:r>
        <w:rPr>
          <w:rStyle w:val="KeywordTok"/>
        </w:rPr>
        <w:t xml:space="preserve">:</w:t>
      </w:r>
      <w:r>
        <w:rPr>
          <w:rStyle w:val="AttributeTok"/>
        </w:rPr>
        <w:t xml:space="preserve"> </w:t>
      </w:r>
      <w:r>
        <w:rPr>
          <w:rStyle w:val="StringTok"/>
        </w:rPr>
        <w:t xml:space="preserve">"sertifikasi-kpbu-masa-berlaku-retensi-pengetahuan"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"Sertifikasi KPBU"</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"masa berlaku sertifikat kompetensi"</w:t>
      </w:r>
      <w:r>
        <w:rPr>
          <w:rStyle w:val="KeywordTok"/>
        </w:rPr>
        <w:t xml:space="preserve">,</w:t>
      </w:r>
      <w:r>
        <w:rPr>
          <w:rStyle w:val="AttributeTok"/>
        </w:rPr>
        <w:t xml:space="preserve"> </w:t>
      </w:r>
      <w:r>
        <w:rPr>
          <w:rStyle w:val="StringTok"/>
        </w:rPr>
        <w:t xml:space="preserve">"resertifikasi"</w:t>
      </w:r>
      <w:r>
        <w:rPr>
          <w:rStyle w:val="KeywordTok"/>
        </w:rPr>
        <w:t xml:space="preserve">,</w:t>
      </w:r>
      <w:r>
        <w:rPr>
          <w:rStyle w:val="AttributeTok"/>
        </w:rPr>
        <w:t xml:space="preserve"> </w:t>
      </w:r>
      <w:r>
        <w:rPr>
          <w:rStyle w:val="StringTok"/>
        </w:rPr>
        <w:t xml:space="preserve">"kredensial CP3P"</w:t>
      </w:r>
      <w:r>
        <w:rPr>
          <w:rStyle w:val="KeywordTok"/>
        </w:rPr>
        <w:t xml:space="preserve">,</w:t>
      </w:r>
      <w:r>
        <w:rPr>
          <w:rStyle w:val="AttributeTok"/>
        </w:rPr>
        <w:t xml:space="preserve"> </w:t>
      </w:r>
      <w:r>
        <w:rPr>
          <w:rStyle w:val="StringTok"/>
        </w:rPr>
        <w:t xml:space="preserve">"pembaruan PPP Guide"</w:t>
      </w:r>
      <w:r>
        <w:rPr>
          <w:rStyle w:val="KeywordTok"/>
        </w:rPr>
        <w:t xml:space="preserve">,</w:t>
      </w:r>
      <w:r>
        <w:rPr>
          <w:rStyle w:val="AttributeTok"/>
        </w:rPr>
        <w:t xml:space="preserve"> </w:t>
      </w:r>
      <w:r>
        <w:rPr>
          <w:rStyle w:val="StringTok"/>
        </w:rPr>
        <w:t xml:space="preserve">"retensi pengetahuan"</w:t>
      </w:r>
      <w:r>
        <w:rPr>
          <w:rStyle w:val="KeywordTok"/>
        </w:rPr>
        <w:t xml:space="preserve">,</w:t>
      </w:r>
      <w:r>
        <w:rPr>
          <w:rStyle w:val="AttributeTok"/>
        </w:rPr>
        <w:t xml:space="preserve"> </w:t>
      </w:r>
      <w:r>
        <w:rPr>
          <w:rStyle w:val="StringTok"/>
        </w:rPr>
        <w:t xml:space="preserve">"transfer pengetahuan"</w:t>
      </w:r>
      <w:r>
        <w:rPr>
          <w:rStyle w:val="KeywordTok"/>
        </w:rPr>
        <w:t xml:space="preserve">,</w:t>
      </w:r>
      <w:r>
        <w:rPr>
          <w:rStyle w:val="AttributeTok"/>
        </w:rPr>
        <w:t xml:space="preserve"> </w:t>
      </w:r>
      <w:r>
        <w:rPr>
          <w:rStyle w:val="StringTok"/>
        </w:rPr>
        <w:t xml:space="preserve">"rotasi jabatan"</w:t>
      </w:r>
      <w:r>
        <w:rPr>
          <w:rStyle w:val="KeywordTok"/>
        </w:rPr>
        <w:t xml:space="preserve">,</w:t>
      </w:r>
      <w:r>
        <w:rPr>
          <w:rStyle w:val="AttributeTok"/>
        </w:rPr>
        <w:t xml:space="preserve"> </w:t>
      </w:r>
      <w:r>
        <w:rPr>
          <w:rStyle w:val="StringTok"/>
        </w:rPr>
        <w:t xml:space="preserve">"simpul KPBU"</w:t>
      </w:r>
      <w:r>
        <w:rPr>
          <w:rStyle w:val="KeywordTok"/>
        </w:rPr>
        <w:t xml:space="preserve">,</w:t>
      </w:r>
      <w:r>
        <w:rPr>
          <w:rStyle w:val="AttributeTok"/>
        </w:rPr>
        <w:t xml:space="preserve"> </w:t>
      </w:r>
      <w:r>
        <w:rPr>
          <w:rStyle w:val="StringTok"/>
        </w:rPr>
        <w:t xml:space="preserve">"verifikasi kredensial"</w:t>
      </w:r>
      <w:r>
        <w:rPr>
          <w:rStyle w:val="KeywordTok"/>
        </w:rPr>
        <w:t xml:space="preserve">,</w:t>
      </w:r>
      <w:r>
        <w:rPr>
          <w:rStyle w:val="AttributeTok"/>
        </w:rPr>
        <w:t xml:space="preserve"> </w:t>
      </w:r>
      <w:r>
        <w:rPr>
          <w:rStyle w:val="StringTok"/>
        </w:rPr>
        <w:t xml:space="preserve">"APMG International"</w:t>
      </w:r>
      <w:r>
        <w:rPr>
          <w:rStyle w:val="KeywordTok"/>
        </w:rPr>
        <w:t xml:space="preserve">,</w:t>
      </w:r>
      <w:r>
        <w:rPr>
          <w:rStyle w:val="AttributeTok"/>
        </w:rPr>
        <w:t xml:space="preserve"> </w:t>
      </w:r>
      <w:r>
        <w:rPr>
          <w:rStyle w:val="StringTok"/>
        </w:rPr>
        <w:t xml:space="preserve">"kapasitas tim"</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"Sertifikasi KPBU"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"https://institute.iigf.co.id/capacity-building"</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"Capacity Building pembiayaan kreatif"</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"https://institute.iigf.co.id/e-library/lainnya/77/studi-kasus-kpbu-untuk-penguatan-infrastruktur-digital-dan-informasi"</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"studi kasus proyek infrastruktur di Indonesia"</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"https://ppp-certification.com/faqs"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"Pernyataan APMG bahwa tidak ada kewajiban resertifikasi setiap kali PPP Guide diperbarui; bentuk bukti kredensial (sertifikat elektronik &amp; lencana digital via Candidate Portal); ketersediaan kursus gratis hanya untuk Foundation"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"https://ppp-certification.com/certification"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"Kepemilikan kredensial CP3P oleh APMG, syarat lulus ketiga ujian, dan perbedaan cakupan bab Execution antarversi PPP Guide"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"https://blogs.worldbank.org/en/voices/the-secret-to-infrastructure-success-strong-ppp-frameworks"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"Kenaikan investasi infrastruktur rata-rata USD 488 juta per tahun pada negara yang memperkuat kerangka kelembagaan PPP, periode 1990–2022"</w:t>
      </w:r>
      <w:r>
        <w:br/>
      </w:r>
      <w:r>
        <w:rPr>
          <w:rStyle w:val="FunctionTok"/>
        </w:rPr>
        <w:t xml:space="preserve">brief_id</w:t>
      </w:r>
      <w:r>
        <w:rPr>
          <w:rStyle w:val="KeywordTok"/>
        </w:rPr>
        <w:t xml:space="preserve">:</w:t>
      </w:r>
      <w:r>
        <w:rPr>
          <w:rStyle w:val="AttributeTok"/>
        </w:rPr>
        <w:t xml:space="preserve"> </w:t>
      </w:r>
      <w:r>
        <w:rPr>
          <w:rStyle w:val="StringTok"/>
        </w:rPr>
        <w:t xml:space="preserve">"sertifikasi-kpbu-04"</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date_modified</w:t>
      </w:r>
      <w:r>
        <w:rPr>
          <w:rStyle w:val="KeywordTok"/>
        </w:rPr>
        <w:t xml:space="preserve">:</w:t>
      </w:r>
      <w:r>
        <w:rPr>
          <w:rStyle w:val="AttributeTok"/>
        </w:rPr>
        <w:t xml:space="preserve"> </w:t>
      </w:r>
      <w:r>
        <w:rPr>
          <w:rStyle w:val="StringTok"/>
        </w:rPr>
        <w:t xml:space="preserve">"2026-09-22"</w:t>
      </w:r>
      <w:r>
        <w:br/>
      </w:r>
      <w:r>
        <w:rPr>
          <w:rStyle w:val="FunctionTok"/>
        </w:rPr>
        <w:t xml:space="preserve">word_count</w:t>
      </w:r>
      <w:r>
        <w:rPr>
          <w:rStyle w:val="KeywordTok"/>
        </w:rPr>
        <w:t xml:space="preserve">:</w:t>
      </w:r>
      <w:r>
        <w:rPr>
          <w:rStyle w:val="AttributeTok"/>
        </w:rPr>
        <w:t xml:space="preserve"> </w:t>
      </w:r>
      <w:r>
        <w:rPr>
          <w:rStyle w:val="DecValTok"/>
        </w:rPr>
        <w:t xml:space="preserve">1554</w:t>
      </w:r>
    </w:p>
    <w:p>
      <w:r>
        <w:pict>
          <v:rect style="width:0;height:1.5pt" o:hralign="center" o:hrstd="t" o:hr="t"/>
        </w:pict>
      </w:r>
    </w:p>
    <w:bookmarkEnd w:id="16"/>
    <w:bookmarkStart w:id="35" w:name="X5918376bdae8d364e036caa2e8c6151d65b6465"/>
    <w:p>
      <w:pPr>
        <w:pStyle w:val="Heading1"/>
      </w:pPr>
      <w:r>
        <w:t xml:space="preserve">Sertifikasi KPBU: Masa Berlaku dan Ilmu yang Menguap</w:t>
      </w:r>
    </w:p>
    <w:p>
      <w:pPr>
        <w:pStyle w:val="FirstParagraph"/>
      </w:pPr>
      <w:r>
        <w:t xml:space="preserve">Setahun setelah anggaran pelatihan turun dan seorang staf pulang dengan kredensial di tangan, dua pertanyaan muncul berdekatan di sebuah simpul KPBU: apakah sertifikatnya masih berlaku, dan di mana jejak ilmunya di unit ini. Pertanyaan pertama punya jawaban jelas yang sering salah dipahami. Pertanyaan kedua nyaris tak pernah diajukan, padahal di situlah uangnya menguap. Artikel ini membahas</w:t>
      </w:r>
      <w:r>
        <w:t xml:space="preserve"> </w:t>
      </w:r>
      <w:hyperlink r:id="rId17">
        <w:r>
          <w:rPr>
            <w:rStyle w:val="Hyperlink"/>
          </w:rPr>
          <w:t xml:space="preserve">Sertifikasi KPBU</w:t>
        </w:r>
      </w:hyperlink>
      <w:r>
        <w:t xml:space="preserve"> </w:t>
      </w:r>
      <w:r>
        <w:t xml:space="preserve">dari sisi yang jarang ditulis: apa yang terjadi pada kredensial dan pengetahuannya setelah kelas selesai, dan mekanisme apa yang menahan relevansinya.</w:t>
      </w:r>
    </w:p>
    <w:p>
      <w:pPr>
        <w:pStyle w:val="BlockText"/>
      </w:pPr>
      <w:r>
        <w:rPr>
          <w:b/>
          <w:bCs/>
        </w:rPr>
        <w:t xml:space="preserve">Ringkasnya:</w:t>
      </w:r>
      <w:r>
        <w:t xml:space="preserve"> </w:t>
      </w:r>
      <w:r>
        <w:t xml:space="preserve">CP3P (</w:t>
      </w:r>
      <w:r>
        <w:rPr>
          <w:i/>
          <w:iCs/>
        </w:rPr>
        <w:t xml:space="preserve">Certified Public-Private Partnership Professional</w:t>
      </w:r>
      <w:r>
        <w:t xml:space="preserve">) adalah kredensial profesional KPBU/PPP dari APMG International. Menurut FAQ resmi APMG, tidak ada kewajiban memperoleh sertifikasi ulang setiap kali PPP Guide (panduan acuannya) diperbarui. Ini bukan jaminan kredensial berlaku selamanya, melainkan pernyataan spesifik: pembaruan panduan tidak otomatis mewajibkan resertifikasi, berbeda dari sejumlah skema sertifikasi kompetensi nasional yang menetapkan masa berlaku tetap.</w:t>
      </w:r>
    </w:p>
    <w:bookmarkStart w:id="19" w:name="Xad4598b1e27c9ca3be89970979dcd4ca4078591"/>
    <w:p>
      <w:pPr>
        <w:pStyle w:val="Heading2"/>
      </w:pPr>
      <w:r>
        <w:t xml:space="preserve">Apakah sertifikasi KPBU punya masa berlaku?</w:t>
      </w:r>
    </w:p>
    <w:p>
      <w:pPr>
        <w:pStyle w:val="FirstParagraph"/>
      </w:pPr>
      <w:r>
        <w:t xml:space="preserve">Untuk kredensial CP3P,</w:t>
      </w:r>
      <w:r>
        <w:t xml:space="preserve"> </w:t>
      </w:r>
      <w:hyperlink r:id="rId18">
        <w:r>
          <w:rPr>
            <w:rStyle w:val="Hyperlink"/>
          </w:rPr>
          <w:t xml:space="preserve">FAQ resmi APMG International</w:t>
        </w:r>
      </w:hyperlink>
      <w:r>
        <w:t xml:space="preserve"> </w:t>
      </w:r>
      <w:r>
        <w:t xml:space="preserve">menyatakan tidak ada kewajiban memperoleh sertifikasi ulang setiap kali PPP Guide diperbarui (APMG International, per akses 2026). Jawaban ini tidak bisa digeneralisasi:</w:t>
      </w:r>
      <w:r>
        <w:t xml:space="preserve"> </w:t>
      </w:r>
      <w:r>
        <w:t xml:space="preserve">“sertifikasi KPBU”</w:t>
      </w:r>
      <w:r>
        <w:t xml:space="preserve"> </w:t>
      </w:r>
      <w:r>
        <w:t xml:space="preserve">adalah frasa pencarian yang mencakup beberapa jenis pengakuan kompetensi, bukan nama satu kredensial resmi.</w:t>
      </w:r>
    </w:p>
    <w:p>
      <w:pPr>
        <w:pStyle w:val="BodyText"/>
      </w:pPr>
      <w:r>
        <w:t xml:space="preserve">Perlu dibedakan dua hal yang mudah tertukar. Yang dinyatakan APMG adalah tidak adanya kewajiban resertifikasi mengikuti pembaruan panduan, bukan bahwa kredensialnya berlaku selamanya. Menaikkannya sejauh itu melampaui apa yang tertulis di sumbernya.</w:t>
      </w:r>
    </w:p>
    <w:p>
      <w:pPr>
        <w:pStyle w:val="BodyText"/>
      </w:pPr>
      <w:r>
        <w:t xml:space="preserve">Asumsi sebaliknya wajar muncul. Pada skema yang paling dikenal pembaca Indonesia, masa berlaku sertifikat kompetensi memang ditetapkan di muka: sertifikat kompetensi berbasis skema BNSP, misalnya, umumnya berlaku sekitar tiga tahun sebelum pemegangnya memperpanjang lewat</w:t>
      </w:r>
      <w:r>
        <w:t xml:space="preserve"> </w:t>
      </w:r>
      <w:r>
        <w:rPr>
          <w:i/>
          <w:iCs/>
        </w:rPr>
        <w:t xml:space="preserve">Recognition of Current Competency</w:t>
      </w:r>
      <w:r>
        <w:t xml:space="preserve"> </w:t>
      </w:r>
      <w:r>
        <w:t xml:space="preserve">atau resertifikasi (bnsp.go.id, per akses 2026). Model mental itu terbawa ke kredensial internasional, lalu meleset. Yang berbeda mekanismenya, bukan soal skema mana yang lebih ketat.</w:t>
      </w:r>
    </w:p>
    <w:bookmarkEnd w:id="19"/>
    <w:bookmarkStart w:id="21" w:name="Xdb706ab9722519ecc045624959b5f75cd8ed66a"/>
    <w:p>
      <w:pPr>
        <w:pStyle w:val="Heading2"/>
      </w:pPr>
      <w:r>
        <w:t xml:space="preserve">Kalau tidak ada kewajiban resertifikasi, mengapa kredensial bisa kehilangan relevansi?</w:t>
      </w:r>
    </w:p>
    <w:p>
      <w:pPr>
        <w:pStyle w:val="FirstParagraph"/>
      </w:pPr>
      <w:r>
        <w:t xml:space="preserve">Karena yang bergerak bukan status kredensialnya, melainkan isi acuannya. PPP Guide adalah dokumen hidup yang diperbarui berkala, sementara kredensial CP3P tidak menuntut pembaruan formal apa pun. Celah di antara keduanya diisi atau dibiarkan oleh pemegangnya sendiri, bukan oleh selembar sertifikat yang sudah terbit.</w:t>
      </w:r>
    </w:p>
    <w:p>
      <w:pPr>
        <w:pStyle w:val="BodyText"/>
      </w:pPr>
      <w:r>
        <w:t xml:space="preserve">Buktinya terbuka.</w:t>
      </w:r>
      <w:r>
        <w:t xml:space="preserve"> </w:t>
      </w:r>
      <w:hyperlink r:id="rId20">
        <w:r>
          <w:rPr>
            <w:rStyle w:val="Hyperlink"/>
          </w:rPr>
          <w:t xml:space="preserve">Halaman sertifikasi APMG</w:t>
        </w:r>
      </w:hyperlink>
      <w:r>
        <w:t xml:space="preserve"> </w:t>
      </w:r>
      <w:r>
        <w:t xml:space="preserve">menyebut cakupan ujian level Execution sebagai</w:t>
      </w:r>
      <w:r>
        <w:t xml:space="preserve"> </w:t>
      </w:r>
      <w:r>
        <w:rPr>
          <w:i/>
          <w:iCs/>
        </w:rPr>
        <w:t xml:space="preserve">“Chapters 5-7 (version 2) or Chapters 5-8 (version 1)”</w:t>
      </w:r>
      <w:r>
        <w:t xml:space="preserve">, dua versi panduan berdampingan pada satu halaman resmi yang sama. Kredensial CP3P penuh baru diberikan kepada kandidat yang lulus ketiga ujian, dengan Foundation mencakup Bab 1 dan Preparation Bab 2–5 (APMG International, 2026).</w:t>
      </w:r>
    </w:p>
    <w:p>
      <w:pPr>
        <w:pStyle w:val="BodyText"/>
      </w:pPr>
      <w:r>
        <w:t xml:space="preserve">Kerangka acuan domestik juga bergerak. Peraturan Menteri PPN/Kepala Bappenas No. 7 Tahun 2023 mencabut dua peraturan pelaksana KPBU sebelumnya dan mulai berlaku 29 September 2023. Kerangka CP3P beserta PPP Guide yang menjadi acuannya dikembangkan enam bank pembangunan multilateral (AfDB, ADB, EBRD, IDB, IsDB, dan World Bank Group) dengan pendanaan sebagian dari PPIAF, bukan sebagai cermin regulasi satu negara.</w:t>
      </w:r>
    </w:p>
    <w:p>
      <w:pPr>
        <w:pStyle w:val="BodyText"/>
      </w:pPr>
      <w:r>
        <w:t xml:space="preserve">Satu catatan kelembagaan yang sering rancu: APMG International memiliki, menguji, dan menganugerahkan kredensial CP3P, termasuk menetapkan ketentuan masa berlakunya; penyelenggara pelatihan terakreditasi (ATO,</w:t>
      </w:r>
      <w:r>
        <w:t xml:space="preserve"> </w:t>
      </w:r>
      <w:r>
        <w:rPr>
          <w:i/>
          <w:iCs/>
        </w:rPr>
        <w:t xml:space="preserve">Accredited Training Organization</w:t>
      </w:r>
      <w:r>
        <w:t xml:space="preserve">) hanya menyelenggarakan pelatihannya. IIGF Institute, unit manajemen pengetahuan PT Penjaminan Infrastruktur Indonesia (Persero) di bidang KPBU, menjadi ATO APMG pertama di Indonesia sejak 2019.</w:t>
      </w:r>
    </w:p>
    <w:bookmarkEnd w:id="21"/>
    <w:bookmarkStart w:id="23" w:name="X896942882787756c02dc2aa7970dc211c8b367a"/>
    <w:p>
      <w:pPr>
        <w:pStyle w:val="Heading2"/>
      </w:pPr>
      <w:r>
        <w:t xml:space="preserve">Tiga pola peluruhan pengetahuan setelah peserta kembali ke unitnya</w:t>
      </w:r>
    </w:p>
    <w:p>
      <w:pPr>
        <w:pStyle w:val="FirstParagraph"/>
      </w:pPr>
      <w:r>
        <w:t xml:space="preserve">Peluruhan pengetahuan pasca-pelatihan biasanya mengikuti tiga pola yang dikenali dari gejalanya: pengetahuan terkunci pada satu orang, pengetahuan tanpa lahan praktik, dan pengetahuan yang tidak pernah diterjemahkan ke dokumen kerja. Ketiganya berakar pada desain kelembagaan, bukan pada kualitas pelatihan yang diikuti.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Pola peluruhan</w:t>
            </w:r>
          </w:p>
        </w:tc>
        <w:tc>
          <w:tcPr/>
          <w:p>
            <w:pPr>
              <w:pStyle w:val="Compact"/>
            </w:pPr>
            <w:r>
              <w:t xml:space="preserve">Gejala yang terlihat</w:t>
            </w:r>
          </w:p>
        </w:tc>
        <w:tc>
          <w:tcPr/>
          <w:p>
            <w:pPr>
              <w:pStyle w:val="Compact"/>
            </w:pPr>
            <w:r>
              <w:t xml:space="preserve">Akar masalah</w:t>
            </w:r>
          </w:p>
        </w:tc>
        <w:tc>
          <w:tcPr/>
          <w:p>
            <w:pPr>
              <w:pStyle w:val="Compact"/>
            </w:pPr>
            <w:r>
              <w:t xml:space="preserve">Langkah perbaikan</w:t>
            </w:r>
          </w:p>
        </w:tc>
      </w:tr>
      <w:tr>
        <w:tc>
          <w:tcPr/>
          <w:p>
            <w:pPr>
              <w:pStyle w:val="Compact"/>
            </w:pPr>
            <w:r>
              <w:t xml:space="preserve">Terkunci pada satu orang</w:t>
            </w:r>
          </w:p>
        </w:tc>
        <w:tc>
          <w:tcPr/>
          <w:p>
            <w:pPr>
              <w:pStyle w:val="Compact"/>
            </w:pPr>
            <w:r>
              <w:t xml:space="preserve">Pekerjaan berhenti saat pemegang pengetahuan cuti atau dirotasi; rekan lain tak tahu mulai dari mana</w:t>
            </w:r>
          </w:p>
        </w:tc>
        <w:tc>
          <w:tcPr/>
          <w:p>
            <w:pPr>
              <w:pStyle w:val="Compact"/>
            </w:pPr>
            <w:r>
              <w:t xml:space="preserve">Tidak ada dokumentasi tertulis dan tidak ada kaderisasi lapis kedua</w:t>
            </w:r>
          </w:p>
        </w:tc>
        <w:tc>
          <w:tcPr/>
          <w:p>
            <w:pPr>
              <w:pStyle w:val="Compact"/>
            </w:pPr>
            <w:r>
              <w:t xml:space="preserve">Wajibkan berbagi ringkasan pasca-pelatihan; pastikan dua orang menguasai dasar yang sama</w:t>
            </w:r>
          </w:p>
        </w:tc>
      </w:tr>
      <w:tr>
        <w:tc>
          <w:tcPr/>
          <w:p>
            <w:pPr>
              <w:pStyle w:val="Compact"/>
            </w:pPr>
            <w:r>
              <w:t xml:space="preserve">Tanpa lahan praktik</w:t>
            </w:r>
          </w:p>
        </w:tc>
        <w:tc>
          <w:tcPr/>
          <w:p>
            <w:pPr>
              <w:pStyle w:val="Compact"/>
            </w:pPr>
            <w:r>
              <w:t xml:space="preserve">Kerangka yang dipelajari tak pernah dipakai karena unit belum punya proyek KPBU berjalan</w:t>
            </w:r>
          </w:p>
        </w:tc>
        <w:tc>
          <w:tcPr/>
          <w:p>
            <w:pPr>
              <w:pStyle w:val="Compact"/>
            </w:pPr>
            <w:r>
              <w:t xml:space="preserve">Waktu pelatihan tidak disinkronkan dengan siklus proyek riil instansi</w:t>
            </w:r>
          </w:p>
        </w:tc>
        <w:tc>
          <w:tcPr/>
          <w:p>
            <w:pPr>
              <w:pStyle w:val="Compact"/>
            </w:pPr>
            <w:r>
              <w:t xml:space="preserve">Kaitkan peserta dengan proyek konkret, atau bedah studi kasus nyata sembari menunggu</w:t>
            </w:r>
          </w:p>
        </w:tc>
      </w:tr>
      <w:tr>
        <w:tc>
          <w:tcPr/>
          <w:p>
            <w:pPr>
              <w:pStyle w:val="Compact"/>
            </w:pPr>
            <w:r>
              <w:t xml:space="preserve">Tidak diterjemahkan</w:t>
            </w:r>
          </w:p>
        </w:tc>
        <w:tc>
          <w:tcPr/>
          <w:p>
            <w:pPr>
              <w:pStyle w:val="Compact"/>
            </w:pPr>
            <w:r>
              <w:t xml:space="preserve">Istilah PPP Guide dikuasai secara konseptual, tak pernah masuk dokumen kerja instansi</w:t>
            </w:r>
          </w:p>
        </w:tc>
        <w:tc>
          <w:tcPr/>
          <w:p>
            <w:pPr>
              <w:pStyle w:val="Compact"/>
            </w:pPr>
            <w:r>
              <w:t xml:space="preserve">Tidak ada pemetaan kerangka internasional ke tahapan KPBU nasional</w:t>
            </w:r>
          </w:p>
        </w:tc>
        <w:tc>
          <w:tcPr/>
          <w:p>
            <w:pPr>
              <w:pStyle w:val="Compact"/>
            </w:pPr>
            <w:r>
              <w:t xml:space="preserve">Petakan istilah PPP Guide ke tahapan dan dokumen yang dipakai unit sehari-hari</w:t>
            </w:r>
          </w:p>
        </w:tc>
      </w:tr>
    </w:tbl>
    <w:p>
      <w:pPr>
        <w:pStyle w:val="BodyText"/>
      </w:pPr>
      <w:r>
        <w:t xml:space="preserve">Pola kedua sering ditemui di instansi daerah yang menganggarkan pelatihan lebih dulu, proyeknya menyusul. Selagi menunggu, membedah</w:t>
      </w:r>
      <w:r>
        <w:t xml:space="preserve"> </w:t>
      </w:r>
      <w:hyperlink r:id="rId22">
        <w:r>
          <w:rPr>
            <w:rStyle w:val="Hyperlink"/>
          </w:rPr>
          <w:t xml:space="preserve">studi kasus proyek infrastruktur di Indonesia</w:t>
        </w:r>
      </w:hyperlink>
      <w:r>
        <w:t xml:space="preserve"> </w:t>
      </w:r>
      <w:r>
        <w:t xml:space="preserve">adalah lahan latihan terdekat yang tersedia.</w:t>
      </w:r>
    </w:p>
    <w:bookmarkEnd w:id="23"/>
    <w:bookmarkStart w:id="24" w:name="X37c390308e95467efeecd1ecf1c6fc5dd4a637a"/>
    <w:p>
      <w:pPr>
        <w:pStyle w:val="Heading2"/>
      </w:pPr>
      <w:r>
        <w:t xml:space="preserve">Langkah menjaga investasi sertifikasi tetap hidup</w:t>
      </w:r>
    </w:p>
    <w:p>
      <w:pPr>
        <w:pStyle w:val="FirstParagraph"/>
      </w:pPr>
      <w:r>
        <w:t xml:space="preserve">Menjaga investasi sertifikasi tetap hidup bukan soal menambah pelatihan, melainkan memberi pengetahuan itu saluran keluar, lahan praktik, dan penyimpanan. Enam langkah berikut bisa dijalankan unit mana pun tanpa anggaran baru, dan paling efektif bila disepakati sebelum peserta dikirim, bukan setelah ia kembali.</w:t>
      </w:r>
    </w:p>
    <w:p>
      <w:pPr>
        <w:pStyle w:val="Compact"/>
        <w:numPr>
          <w:ilvl w:val="0"/>
          <w:numId w:val="1001"/>
        </w:numPr>
      </w:pPr>
      <w:r>
        <w:rPr>
          <w:b/>
          <w:bCs/>
        </w:rPr>
        <w:t xml:space="preserve">Siapkan saluran keluarnya.</w:t>
      </w:r>
      <w:r>
        <w:t xml:space="preserve"> </w:t>
      </w:r>
      <w:r>
        <w:t xml:space="preserve">Peserta memberi ringkasan atau sesi singkat ke rekan setim segera setelah kembali, bukan</w:t>
      </w:r>
      <w:r>
        <w:t xml:space="preserve"> </w:t>
      </w:r>
      <w:r>
        <w:t xml:space="preserve">“nanti kalau ada waktu”</w:t>
      </w:r>
      <w:r>
        <w:t xml:space="preserve">.</w:t>
      </w:r>
    </w:p>
    <w:p>
      <w:pPr>
        <w:pStyle w:val="Compact"/>
        <w:numPr>
          <w:ilvl w:val="0"/>
          <w:numId w:val="1001"/>
        </w:numPr>
      </w:pPr>
      <w:r>
        <w:rPr>
          <w:b/>
          <w:bCs/>
        </w:rPr>
        <w:t xml:space="preserve">Terjemahkan istilahnya.</w:t>
      </w:r>
      <w:r>
        <w:t xml:space="preserve"> </w:t>
      </w:r>
      <w:r>
        <w:t xml:space="preserve">Petakan konsep PPP Guide ke dokumen internal: kerangka acuan kerja, kajian awal, rancangan kontrak.</w:t>
      </w:r>
    </w:p>
    <w:p>
      <w:pPr>
        <w:pStyle w:val="Compact"/>
        <w:numPr>
          <w:ilvl w:val="0"/>
          <w:numId w:val="1001"/>
        </w:numPr>
      </w:pPr>
      <w:r>
        <w:rPr>
          <w:b/>
          <w:bCs/>
        </w:rPr>
        <w:t xml:space="preserve">Sambungkan ke proyek nyata.</w:t>
      </w:r>
      <w:r>
        <w:t xml:space="preserve"> </w:t>
      </w:r>
      <w:r>
        <w:t xml:space="preserve">Kerangka yang tak dipakai pada bulan-bulan pertama meluruh lebih cepat daripada yang langsung diuji.</w:t>
      </w:r>
    </w:p>
    <w:p>
      <w:pPr>
        <w:pStyle w:val="Compact"/>
        <w:numPr>
          <w:ilvl w:val="0"/>
          <w:numId w:val="1001"/>
        </w:numPr>
      </w:pPr>
      <w:r>
        <w:rPr>
          <w:b/>
          <w:bCs/>
        </w:rPr>
        <w:t xml:space="preserve">Jangan bertumpu pada satu orang.</w:t>
      </w:r>
      <w:r>
        <w:t xml:space="preserve"> </w:t>
      </w:r>
      <w:r>
        <w:t xml:space="preserve">Pastikan dua orang atau lebih menguasai dasar yang sama, agar rotasi jabatan tidak memutus kesinambungan.</w:t>
      </w:r>
    </w:p>
    <w:p>
      <w:pPr>
        <w:pStyle w:val="Compact"/>
        <w:numPr>
          <w:ilvl w:val="0"/>
          <w:numId w:val="1001"/>
        </w:numPr>
      </w:pPr>
      <w:r>
        <w:rPr>
          <w:b/>
          <w:bCs/>
        </w:rPr>
        <w:t xml:space="preserve">Jadwalkan peninjauan acuan.</w:t>
      </w:r>
      <w:r>
        <w:t xml:space="preserve"> </w:t>
      </w:r>
      <w:r>
        <w:t xml:space="preserve">Periksa berkala versi PPP Guide dan regulasi KPBU nasional yang berlaku; ini bentuk termurah dari pengembangan kompetensi berkelanjutan.</w:t>
      </w:r>
    </w:p>
    <w:p>
      <w:pPr>
        <w:pStyle w:val="Compact"/>
        <w:numPr>
          <w:ilvl w:val="0"/>
          <w:numId w:val="1001"/>
        </w:numPr>
      </w:pPr>
      <w:r>
        <w:rPr>
          <w:b/>
          <w:bCs/>
        </w:rPr>
        <w:t xml:space="preserve">Rapikan bukti kredensialnya.</w:t>
      </w:r>
      <w:r>
        <w:t xml:space="preserve"> </w:t>
      </w:r>
      <w:r>
        <w:t xml:space="preserve">APMG mengirimkan sertifikat elektronik ke email terdaftar dan menyediakannya lewat</w:t>
      </w:r>
      <w:r>
        <w:t xml:space="preserve"> </w:t>
      </w:r>
      <w:r>
        <w:rPr>
          <w:i/>
          <w:iCs/>
        </w:rPr>
        <w:t xml:space="preserve">Candidate Portal</w:t>
      </w:r>
      <w:r>
        <w:t xml:space="preserve">, dilengkapi lencana digital sebagai bukti kelulusan ujian (APMG International, 2026), sehingga verifikasi kredensial tak bergantung pada arsip pribadi satu pegawai.</w:t>
      </w:r>
    </w:p>
    <w:p>
      <w:pPr>
        <w:pStyle w:val="FirstParagraph"/>
      </w:pPr>
      <w:r>
        <w:t xml:space="preserve">Satu hal membatasi pilihan: kursus daring gratis APMG hanya tersedia untuk level Foundation, tidak untuk Preparation dan Execution. Transfer pengetahuan di level lanjutan karena itu lebih realistis ditopang mekanisme internal di atas.</w:t>
      </w:r>
    </w:p>
    <w:bookmarkEnd w:id="24"/>
    <w:bookmarkStart w:id="27" w:name="Xdd69ec4f183b0dd4c448ed35f623e6cfe736db5"/>
    <w:p>
      <w:pPr>
        <w:pStyle w:val="Heading2"/>
      </w:pPr>
      <w:r>
        <w:t xml:space="preserve">Yang tidak bisa diperbaiki oleh sertifikasi berikutnya</w:t>
      </w:r>
    </w:p>
    <w:p>
      <w:pPr>
        <w:pStyle w:val="FirstParagraph"/>
      </w:pPr>
      <w:r>
        <w:t xml:space="preserve">Sertifikasi memformalkan kompetensi satu individu. Ia tidak menciptakan dokumentasi, tidak menyediakan proyek untuk berlatih, dan tidak menahan pengetahuan ketika personelnya dirotasi. Ketika gejalanya adalah pengetahuan menguap, mengirim orang yang sama ke level berikutnya umumnya memindahkan masalah ke tahun anggaran berikutnya.</w:t>
      </w:r>
    </w:p>
    <w:p>
      <w:pPr>
        <w:pStyle w:val="BodyText"/>
      </w:pPr>
      <w:r>
        <w:t xml:space="preserve">Bukti lintas negara menunjuk arah yang sama.</w:t>
      </w:r>
      <w:r>
        <w:t xml:space="preserve"> </w:t>
      </w:r>
      <w:hyperlink r:id="rId25">
        <w:r>
          <w:rPr>
            <w:rStyle w:val="Hyperlink"/>
          </w:rPr>
          <w:t xml:space="preserve">Bank Dunia mencatat</w:t>
        </w:r>
      </w:hyperlink>
      <w:r>
        <w:t xml:space="preserve"> </w:t>
      </w:r>
      <w:r>
        <w:t xml:space="preserve">negara yang memperkuat kerangka kelembagaan PPP pada 1990–2022 mengalami kenaikan investasi infrastruktur rata-rata sekitar USD 488 juta per tahun, sementara hanya sekitar sepertiga ekonomi yang sudah menstandardisasi dokumen transaksi PPP-nya (World Bank, 2024).</w:t>
      </w:r>
    </w:p>
    <w:p>
      <w:pPr>
        <w:pStyle w:val="BodyText"/>
      </w:pPr>
      <w:r>
        <w:t xml:space="preserve">Tiga akar yang tidak tersentuh oleh kredensial tambahan:</w:t>
      </w:r>
    </w:p>
    <w:p>
      <w:pPr>
        <w:pStyle w:val="Compact"/>
        <w:numPr>
          <w:ilvl w:val="0"/>
          <w:numId w:val="1002"/>
        </w:numPr>
      </w:pPr>
      <w:r>
        <w:rPr>
          <w:b/>
          <w:bCs/>
        </w:rPr>
        <w:t xml:space="preserve">Tidak ada saluran praktik.</w:t>
      </w:r>
      <w:r>
        <w:t xml:space="preserve"> </w:t>
      </w:r>
      <w:r>
        <w:t xml:space="preserve">Kerangka dikuasai, tetapi tak ada proyek atau dokumen tempat ia diuji.</w:t>
      </w:r>
    </w:p>
    <w:p>
      <w:pPr>
        <w:pStyle w:val="Compact"/>
        <w:numPr>
          <w:ilvl w:val="0"/>
          <w:numId w:val="1002"/>
        </w:numPr>
      </w:pPr>
      <w:r>
        <w:rPr>
          <w:b/>
          <w:bCs/>
        </w:rPr>
        <w:t xml:space="preserve">Rotasi memutus kesinambungan.</w:t>
      </w:r>
      <w:r>
        <w:t xml:space="preserve"> </w:t>
      </w:r>
      <w:r>
        <w:t xml:space="preserve">Pemahaman berpindah bersama orangnya; catatannya tidak tertinggal.</w:t>
      </w:r>
    </w:p>
    <w:p>
      <w:pPr>
        <w:pStyle w:val="Compact"/>
        <w:numPr>
          <w:ilvl w:val="0"/>
          <w:numId w:val="1002"/>
        </w:numPr>
      </w:pPr>
      <w:r>
        <w:rPr>
          <w:b/>
          <w:bCs/>
        </w:rPr>
        <w:t xml:space="preserve">Tidak ada penerjemahan.</w:t>
      </w:r>
      <w:r>
        <w:t xml:space="preserve"> </w:t>
      </w:r>
      <w:r>
        <w:t xml:space="preserve">Istilah internasional tak pernah masuk ke dokumen yang dipakai unit.</w:t>
      </w:r>
    </w:p>
    <w:p>
      <w:pPr>
        <w:pStyle w:val="FirstParagraph"/>
      </w:pPr>
      <w:r>
        <w:t xml:space="preserve">Sertifikasi tetap bernilai; argumennya bukan bahwa ia sia-sia, melainkan bahwa ia tidak cukup bekerja sendirian pada masalah yang sifatnya kelembagaan.</w:t>
      </w:r>
    </w:p>
    <w:p>
      <w:pPr>
        <w:pStyle w:val="BodyText"/>
      </w:pPr>
      <w:r>
        <w:t xml:space="preserve">Bagi unit di posisi itu, jalur yang lebih menjawab persoalannya biasanya bukan kredensial individual tambahan, melainkan penguatan kapasitas tim: program</w:t>
      </w:r>
      <w:r>
        <w:t xml:space="preserve"> </w:t>
      </w:r>
      <w:r>
        <w:rPr>
          <w:i/>
          <w:iCs/>
        </w:rPr>
        <w:t xml:space="preserve">PPP capacity building</w:t>
      </w:r>
      <w:r>
        <w:t xml:space="preserve"> </w:t>
      </w:r>
      <w:r>
        <w:t xml:space="preserve">seperti</w:t>
      </w:r>
      <w:r>
        <w:t xml:space="preserve"> </w:t>
      </w:r>
      <w:hyperlink r:id="rId26">
        <w:r>
          <w:rPr>
            <w:rStyle w:val="Hyperlink"/>
          </w:rPr>
          <w:t xml:space="preserve">Capacity Building pembiayaan kreatif</w:t>
        </w:r>
      </w:hyperlink>
      <w:r>
        <w:t xml:space="preserve"> </w:t>
      </w:r>
      <w:r>
        <w:t xml:space="preserve">berangkat dari kesiapan unit, bukan kesiapan satu orang.</w:t>
      </w:r>
    </w:p>
    <w:bookmarkEnd w:id="27"/>
    <w:bookmarkStart w:id="33" w:name="faq-pertanyaan-yang-sering-diajukan"/>
    <w:p>
      <w:pPr>
        <w:pStyle w:val="Heading2"/>
      </w:pPr>
      <w:r>
        <w:t xml:space="preserve">FAQ (Pertanyaan yang Sering Diajukan)</w:t>
      </w:r>
    </w:p>
    <w:bookmarkStart w:id="28" w:name="X1d4d6e85d7522a16108551e7da1a2aa745ccaa6"/>
    <w:p>
      <w:pPr>
        <w:pStyle w:val="Heading3"/>
      </w:pPr>
      <w:r>
        <w:t xml:space="preserve">Apakah kredensial CP3P memiliki masa berlaku?</w:t>
      </w:r>
    </w:p>
    <w:p>
      <w:pPr>
        <w:pStyle w:val="FirstParagraph"/>
      </w:pPr>
      <w:r>
        <w:t xml:space="preserve">Menurut FAQ resmi APMG International (per akses 2026), tidak ada kewajiban memperoleh sertifikasi ulang setiap kali PPP Guide diperbarui. Pernyataan itu spesifik menyangkut resertifikasi mengikuti pembaruan panduan, bukan jaminan kredensial berlaku selamanya. Sebagian skema sertifikasi kompetensi nasional justru menetapkan masa berlaku tetap, sehingga jawabannya berbeda tergantung kredensial mana yang Anda maksud.</w:t>
      </w:r>
    </w:p>
    <w:bookmarkEnd w:id="28"/>
    <w:bookmarkStart w:id="29" w:name="Xc3f461ba18217e7bab22ad3216b1b2d543fdcc0"/>
    <w:p>
      <w:pPr>
        <w:pStyle w:val="Heading3"/>
      </w:pPr>
      <w:r>
        <w:t xml:space="preserve">Apakah perlu sertifikasi ulang jika PPP Guide diperbarui?</w:t>
      </w:r>
    </w:p>
    <w:p>
      <w:pPr>
        <w:pStyle w:val="FirstParagraph"/>
      </w:pPr>
      <w:r>
        <w:t xml:space="preserve">Tidak, menurut rumusan resmi APMG. PPP Guide sendiri memang diperbarui: halaman sertifikasi APMG menyebut cakupan bab level Execution sebagai Bab 5–7 pada satu versi dan Bab 5–8 pada versi lain (APMG International, 2026). Kredensialnya tidak menuntut pembaruan formal, tetapi pemegangnya perlu memeriksa sendiri versi mana yang berlaku.</w:t>
      </w:r>
    </w:p>
    <w:bookmarkEnd w:id="29"/>
    <w:bookmarkStart w:id="30" w:name="X5a747dca95d55f713bb11e3205faa49825f61e2"/>
    <w:p>
      <w:pPr>
        <w:pStyle w:val="Heading3"/>
      </w:pPr>
      <w:r>
        <w:t xml:space="preserve">Bagaimana cara memverifikasi kredensial CP3P seseorang?</w:t>
      </w:r>
    </w:p>
    <w:p>
      <w:pPr>
        <w:pStyle w:val="FirstParagraph"/>
      </w:pPr>
      <w:r>
        <w:t xml:space="preserve">APMG International menerbitkan bukti kelulusan berupa sertifikat elektronik yang dikirim ke email terdaftar kandidat dan dapat diakses lewat</w:t>
      </w:r>
      <w:r>
        <w:t xml:space="preserve"> </w:t>
      </w:r>
      <w:r>
        <w:rPr>
          <w:i/>
          <w:iCs/>
        </w:rPr>
        <w:t xml:space="preserve">Candidate Portal</w:t>
      </w:r>
      <w:r>
        <w:t xml:space="preserve">, dilengkapi lencana digital untuk menunjukkan kelulusan ujian (per akses 2026). Cara paling wajar adalah meminta yang bersangkutan menunjukkan sertifikat atau lencana itu, bukan mengandalkan klaim lisan.</w:t>
      </w:r>
    </w:p>
    <w:bookmarkEnd w:id="30"/>
    <w:bookmarkStart w:id="31" w:name="X954398f3381576db09ccc9f648dc64a42c519d6"/>
    <w:p>
      <w:pPr>
        <w:pStyle w:val="Heading3"/>
      </w:pPr>
      <w:r>
        <w:t xml:space="preserve">Apa yang terjadi jika peserta pelatihan dirotasi ke unit lain?</w:t>
      </w:r>
    </w:p>
    <w:p>
      <w:pPr>
        <w:pStyle w:val="FirstParagraph"/>
      </w:pPr>
      <w:r>
        <w:t xml:space="preserve">Kredensial pribadinya tetap sah dan berpindah bersama orangnya, karena kredensial CP3P diberikan kepada kandidat yang lulus ujian, bukan kepada instansi yang membiayainya (APMG International, 2026). Pengetahuan praktis yang ia bangun saat menangani proyek tidak berpindah otomatis: dokumen kajian, alasan di balik keputusan, dan pemahaman kerangkanya berisiko hilang bila tidak didokumentasikan lebih dulu. Retensi pengetahuan karena itu perlu dirancang sebagai mekanisme unit, bukan diserahkan pada kesediaan satu individu.</w:t>
      </w:r>
    </w:p>
    <w:bookmarkEnd w:id="31"/>
    <w:bookmarkStart w:id="32" w:name="apa-itu-simpul-kpbu"/>
    <w:p>
      <w:pPr>
        <w:pStyle w:val="Heading3"/>
      </w:pPr>
      <w:r>
        <w:t xml:space="preserve">Apa itu simpul KPBU?</w:t>
      </w:r>
    </w:p>
    <w:p>
      <w:pPr>
        <w:pStyle w:val="FirstParagraph"/>
      </w:pPr>
      <w:r>
        <w:t xml:space="preserve">Simpul KPBU adalah unit kerja yang dibentuk atau ditunjuk pimpinan instansi untuk mengoordinasikan perencanaan dan penyiapan proyek KPBU di lingkungannya, dengan dasar Pasal 44 Peraturan Presiden No. 38 Tahun 2015. Statusnya melekat pada unit, bukan pada satu pejabat. Karena itu simpul KPBU adalah tempat paling wajar menaruh dokumentasi, catatan alasan di balik keputusan, dan kaderisasi lapis kedua agar pengetahuan bertahan melewati rotasi.</w:t>
      </w:r>
    </w:p>
    <w:bookmarkEnd w:id="32"/>
    <w:bookmarkEnd w:id="33"/>
    <w:bookmarkStart w:id="34" w:name="kesimpulan"/>
    <w:p>
      <w:pPr>
        <w:pStyle w:val="Heading2"/>
      </w:pPr>
      <w:r>
        <w:t xml:space="preserve">Kesimpulan</w:t>
      </w:r>
    </w:p>
    <w:p>
      <w:pPr>
        <w:pStyle w:val="FirstParagraph"/>
      </w:pPr>
      <w:r>
        <w:t xml:space="preserve">Kredensial bertahan pada orangnya; pengetahuan institusional tidak ikut secara otomatis. Itu sebabnya kabar bahwa sertifikasi KPBU jalur CP3P tidak menuntut resertifikasi terasa melegakan, tetapi tidak menyelesaikan apa pun sendirian. Simpul KPBU yang mendokumentasikan alasan di balik keputusannya, menyebar pemahaman ke lebih dari satu orang, dan memeriksa versi acuannya secara berkala akan bertahan melewati beberapa siklus rotasi. Menjaga ilmu tetap hidup di luar ruang kelas justru inti pekerjaan IIGF Institute: lewat edukasi, riset, dan advokasi kebijakan, unit ini bekerja pada basis pengetahuan KPBU nasional, bukan pada satu angkatan peserta pelatihan. Bila unit Anda sedang memetakan kebutuhan kapasitasnya, percakapan awal biasanya lebih berguna daripada langsung menganggarkan kelas berikutnya.</w:t>
      </w:r>
    </w:p>
    <w:p>
      <w:pPr>
        <w:pStyle w:val="BodyText"/>
      </w:pPr>
      <w:r>
        <w:t xml:space="preserve">Bila tahap berikutnya adalah menata kapasitas unit alih-alih menambah sertifikasi KPBU, program dan publikasi yang relevan dapat Anda telusuri di institute.iigf.co.id.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5" Target="https://blogs.worldbank.org/en/voices/the-secret-to-infrastructure-success-strong-ppp-frameworks" TargetMode="External" /><Relationship Type="http://schemas.openxmlformats.org/officeDocument/2006/relationships/hyperlink" Id="rId17" Target="https://institute.iigf.co.id/" TargetMode="External" /><Relationship Type="http://schemas.openxmlformats.org/officeDocument/2006/relationships/hyperlink" Id="rId26" Target="https://institute.iigf.co.id/capacity-building" TargetMode="External" /><Relationship Type="http://schemas.openxmlformats.org/officeDocument/2006/relationships/hyperlink" Id="rId22" Target="https://institute.iigf.co.id/e-library/lainnya/77/studi-kasus-kpbu-untuk-penguatan-infrastruktur-digital-dan-informasi" TargetMode="External" /><Relationship Type="http://schemas.openxmlformats.org/officeDocument/2006/relationships/hyperlink" Id="rId20" Target="https://ppp-certification.com/certification" TargetMode="External" /><Relationship Type="http://schemas.openxmlformats.org/officeDocument/2006/relationships/hyperlink" Id="rId18" Target="https://ppp-certification.com/faqs" TargetMode="External" /></Relationships>
</file>

<file path=word/_rels/footnotes.xml.rels><?xml version="1.0" encoding="UTF-8"?><Relationships xmlns="http://schemas.openxmlformats.org/package/2006/relationships"><Relationship Type="http://schemas.openxmlformats.org/officeDocument/2006/relationships/hyperlink" Id="rId25" Target="https://blogs.worldbank.org/en/voices/the-secret-to-infrastructure-success-strong-ppp-frameworks" TargetMode="External" /><Relationship Type="http://schemas.openxmlformats.org/officeDocument/2006/relationships/hyperlink" Id="rId17" Target="https://institute.iigf.co.id/" TargetMode="External" /><Relationship Type="http://schemas.openxmlformats.org/officeDocument/2006/relationships/hyperlink" Id="rId26" Target="https://institute.iigf.co.id/capacity-building" TargetMode="External" /><Relationship Type="http://schemas.openxmlformats.org/officeDocument/2006/relationships/hyperlink" Id="rId22" Target="https://institute.iigf.co.id/e-library/lainnya/77/studi-kasus-kpbu-untuk-penguatan-infrastruktur-digital-dan-informasi" TargetMode="External" /><Relationship Type="http://schemas.openxmlformats.org/officeDocument/2006/relationships/hyperlink" Id="rId20" Target="https://ppp-certification.com/certification" TargetMode="External" /><Relationship Type="http://schemas.openxmlformats.org/officeDocument/2006/relationships/hyperlink" Id="rId18" Target="https://ppp-certification.com/faq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2026-09-21T23:58:47Z</dcterms:created>
  <dcterms:modified xsi:type="dcterms:W3CDTF">2026-09-21T23:58:47Z</dcterms:modified>
</cp:coreProperties>
</file>

<file path=docProps/custom.xml><?xml version="1.0" encoding="utf-8"?>
<Properties xmlns="http://schemas.openxmlformats.org/officeDocument/2006/custom-properties" xmlns:vt="http://schemas.openxmlformats.org/officeDocument/2006/docPropsVTypes"/>
</file>