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Membuktikan Value for Money, Bukan Sekadar Menyebutnya"</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Bukti Value for Money"</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menguji value for money kualitatif, kuantitatif, dan public sector comparator pada Tol Semarang-Demak."</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"studi-kasus-proyek-infrastruktur-value-for-money"</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"value for money KPBU"</w:t>
      </w:r>
      <w:r>
        <w:rPr>
          <w:rStyle w:val="KeywordTok"/>
        </w:rPr>
        <w:t xml:space="preserve">,</w:t>
      </w:r>
      <w:r>
        <w:rPr>
          <w:rStyle w:val="AttributeTok"/>
        </w:rPr>
        <w:t xml:space="preserve"> </w:t>
      </w:r>
      <w:r>
        <w:rPr>
          <w:rStyle w:val="StringTok"/>
        </w:rPr>
        <w:t xml:space="preserve">"public sector comparator"</w:t>
      </w:r>
      <w:r>
        <w:rPr>
          <w:rStyle w:val="KeywordTok"/>
        </w:rPr>
        <w:t xml:space="preserve">,</w:t>
      </w:r>
      <w:r>
        <w:rPr>
          <w:rStyle w:val="AttributeTok"/>
        </w:rPr>
        <w:t xml:space="preserve"> </w:t>
      </w:r>
      <w:r>
        <w:rPr>
          <w:rStyle w:val="StringTok"/>
        </w:rPr>
        <w:t xml:space="preserve">"VfM kualitatif dan kuantitatif"</w:t>
      </w:r>
      <w:r>
        <w:rPr>
          <w:rStyle w:val="KeywordTok"/>
        </w:rPr>
        <w:t xml:space="preserve">,</w:t>
      </w:r>
      <w:r>
        <w:rPr>
          <w:rStyle w:val="AttributeTok"/>
        </w:rPr>
        <w:t xml:space="preserve"> </w:t>
      </w:r>
      <w:r>
        <w:rPr>
          <w:rStyle w:val="StringTok"/>
        </w:rPr>
        <w:t xml:space="preserve">"biaya siklus hidup proyek"</w:t>
      </w:r>
      <w:r>
        <w:rPr>
          <w:rStyle w:val="KeywordTok"/>
        </w:rPr>
        <w:t xml:space="preserve">,</w:t>
      </w:r>
      <w:r>
        <w:rPr>
          <w:rStyle w:val="AttributeTok"/>
        </w:rPr>
        <w:t xml:space="preserve"> </w:t>
      </w:r>
      <w:r>
        <w:rPr>
          <w:rStyle w:val="StringTok"/>
        </w:rPr>
        <w:t xml:space="preserve">"kelayakan ekonomi vs kelayakan finansial"</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"penyesuaian risiko"</w:t>
      </w:r>
      <w:r>
        <w:rPr>
          <w:rStyle w:val="KeywordTok"/>
        </w:rPr>
        <w:t xml:space="preserve">,</w:t>
      </w:r>
      <w:r>
        <w:rPr>
          <w:rStyle w:val="AttributeTok"/>
        </w:rPr>
        <w:t xml:space="preserve"> </w:t>
      </w:r>
      <w:r>
        <w:rPr>
          <w:rStyle w:val="StringTok"/>
        </w:rPr>
        <w:t xml:space="preserve">"netralitas kompetitif"</w:t>
      </w:r>
      <w:r>
        <w:rPr>
          <w:rStyle w:val="KeywordTok"/>
        </w:rPr>
        <w:t xml:space="preserve">,</w:t>
      </w:r>
      <w:r>
        <w:rPr>
          <w:rStyle w:val="AttributeTok"/>
        </w:rPr>
        <w:t xml:space="preserve"> </w:t>
      </w:r>
      <w:r>
        <w:rPr>
          <w:rStyle w:val="StringTok"/>
        </w:rPr>
        <w:t xml:space="preserve">"studi kasus KPBU jalan tol"</w:t>
      </w:r>
      <w:r>
        <w:rPr>
          <w:rStyle w:val="KeywordTok"/>
        </w:rPr>
        <w:t xml:space="preserve">,</w:t>
      </w:r>
      <w:r>
        <w:rPr>
          <w:rStyle w:val="AttributeTok"/>
        </w:rPr>
        <w:t xml:space="preserve"> </w:t>
      </w:r>
      <w:r>
        <w:rPr>
          <w:rStyle w:val="StringTok"/>
        </w:rPr>
        <w:t xml:space="preserve">"prastudi kelayakan KPBU"</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"https://kpbu.kemenkeu.go.id/read/69-214/umum/kajian-opini-publik/penilaian-vfm-value-for-money-dalam-penentuan-pemilihan-skema-penyediaan-infrastruktur-di-indonesia"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value for money, tiga dimensi penilaian kualitatif, dan metodologi public sector comparator beserta lima komponennya"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"https://kpbu.kemenkeu.go.id/read/37-40/pjpk/dukungan-pemerintah/dukungan-kelayakan"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dukungan kelayakan (VGF), syarat nilai investasi minimum, dan ketentuan bahwa VGF diberikan setelah tidak ada alternatif lain"</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1576</w:t>
      </w:r>
    </w:p>
    <w:p>
      <w:r>
        <w:pict>
          <v:rect style="width:0;height:1.5pt" o:hralign="center" o:hrstd="t" o:hr="t"/>
        </w:pict>
      </w:r>
    </w:p>
    <w:bookmarkEnd w:id="16"/>
    <w:bookmarkStart w:id="34" w:name="Xab9fd2bb7d6a16932b2eb60a90def992c7dd71b"/>
    <w:p>
      <w:pPr>
        <w:pStyle w:val="Heading1"/>
      </w:pPr>
      <w:r>
        <w:t xml:space="preserve">Studi Kasus Proyek Infrastruktur di Indonesia: Membuktikan Value for Money, Bukan Sekadar Menyebutnya</w:t>
      </w:r>
    </w:p>
    <w:p>
      <w:pPr>
        <w:pStyle w:val="FirstParagraph"/>
      </w:pPr>
      <w:r>
        <w:t xml:space="preserve">Buka satu dokumen prastudi kelayakan KPBU, lompat ke ringkasan eksekutifnya, dan Anda hampir pasti menemukan frasa</w:t>
      </w:r>
      <w:r>
        <w:t xml:space="preserve"> </w:t>
      </w:r>
      <w:r>
        <w:rPr>
          <w:i/>
          <w:iCs/>
        </w:rPr>
        <w:t xml:space="preserve">value for money</w:t>
      </w:r>
      <w:r>
        <w:t xml:space="preserve">. Lompat ke lampirannya, dan Anda menemukan tabel biaya siklus hidup tanpa petunjuk cara membacanya. Di antara dua halaman itu, banyak keputusan skema diambil tanpa pernah benar-benar diuji. Artikel ini membedah cara nilai tersebut dibuktikan: tiga dimensi penilaian kualitatif, metodologi</w:t>
      </w:r>
      <w:r>
        <w:t xml:space="preserve"> </w:t>
      </w:r>
      <w:r>
        <w:rPr>
          <w:i/>
          <w:iCs/>
        </w:rPr>
        <w:t xml:space="preserve">public sector comparator</w:t>
      </w:r>
      <w:r>
        <w:t xml:space="preserve">, lalu satu</w:t>
      </w:r>
      <w:r>
        <w:t xml:space="preserve"> </w:t>
      </w:r>
      <w:hyperlink r:id="rId17">
        <w:r>
          <w:rPr>
            <w:rStyle w:val="Hyperlink"/>
          </w:rPr>
          <w:t xml:space="preserve">studi kasus proyek infrastruktur di Indonesia</w:t>
        </w:r>
      </w:hyperlink>
      <w:r>
        <w:t xml:space="preserve"> </w:t>
      </w:r>
      <w:r>
        <w:t xml:space="preserve">yang separuh manfaatnya tidak menghasilkan pendapatan sepeser pun.</w:t>
      </w:r>
    </w:p>
    <w:p>
      <w:pPr>
        <w:pStyle w:val="BlockText"/>
      </w:pPr>
      <w:r>
        <w:rPr>
          <w:b/>
          <w:bCs/>
        </w:rPr>
        <w:t xml:space="preserve">Ringkasnya:</w:t>
      </w:r>
      <w:r>
        <w:t xml:space="preserve"> </w:t>
      </w:r>
      <w:r>
        <w:rPr>
          <w:i/>
          <w:iCs/>
        </w:rPr>
        <w:t xml:space="preserve">value for money</w:t>
      </w:r>
      <w:r>
        <w:t xml:space="preserve"> </w:t>
      </w:r>
      <w:r>
        <w:t xml:space="preserve">(VfM) dalam KPBU adalah tingkat pencapaian maksimal dari sebuah</w:t>
      </w:r>
      <w:r>
        <w:t xml:space="preserve"> </w:t>
      </w:r>
      <w:r>
        <w:rPr>
          <w:i/>
          <w:iCs/>
        </w:rPr>
        <w:t xml:space="preserve">outcome</w:t>
      </w:r>
      <w:r>
        <w:t xml:space="preserve"> </w:t>
      </w:r>
      <w:r>
        <w:t xml:space="preserve">proyek dari setiap biaya input yang dikeluarkan sepanjang siklus hidupnya, menurut definisi Kementerian Keuangan. Penilaiannya memakai dua metode, yaitu kualitatif (tiga dimensi kelayakan, urgensi, ketercapaian) dan kuantitatif (</w:t>
      </w:r>
      <w:r>
        <w:rPr>
          <w:i/>
          <w:iCs/>
        </w:rPr>
        <w:t xml:space="preserve">public sector comparator</w:t>
      </w:r>
      <w:r>
        <w:t xml:space="preserve">), dan dilakukan sebelum skema penyediaan infrastruktur final dipilih.</w:t>
      </w:r>
    </w:p>
    <w:bookmarkStart w:id="19" w:name="Xf61e15c84ad642f54de3e83692cc32fa2f5fe07"/>
    <w:p>
      <w:pPr>
        <w:pStyle w:val="Heading2"/>
      </w:pPr>
      <w:r>
        <w:t xml:space="preserve">Apa itu value for money dalam proyek KPBU?</w:t>
      </w:r>
    </w:p>
    <w:p>
      <w:pPr>
        <w:pStyle w:val="FirstParagraph"/>
      </w:pPr>
      <w:r>
        <w:rPr>
          <w:i/>
          <w:iCs/>
        </w:rPr>
        <w:t xml:space="preserve">Value for money</w:t>
      </w:r>
      <w:r>
        <w:t xml:space="preserve"> </w:t>
      </w:r>
      <w:r>
        <w:t xml:space="preserve">adalah tingkat pencapaian maksimal sebuah</w:t>
      </w:r>
      <w:r>
        <w:t xml:space="preserve"> </w:t>
      </w:r>
      <w:r>
        <w:rPr>
          <w:i/>
          <w:iCs/>
        </w:rPr>
        <w:t xml:space="preserve">outcome</w:t>
      </w:r>
      <w:r>
        <w:t xml:space="preserve"> </w:t>
      </w:r>
      <w:r>
        <w:t xml:space="preserve">proyek dari setiap biaya input yang dikeluarkan, sesuai</w:t>
      </w:r>
      <w:r>
        <w:t xml:space="preserve"> </w:t>
      </w:r>
      <w:hyperlink r:id="rId18">
        <w:r>
          <w:rPr>
            <w:rStyle w:val="Hyperlink"/>
          </w:rPr>
          <w:t xml:space="preserve">halaman kajian penilaian VfM Kementerian Keuangan</w:t>
        </w:r>
      </w:hyperlink>
      <w:r>
        <w:t xml:space="preserve">. Penilaiannya jatuh pada tahap pengembangan proyek, sebelum skema penyediaan infrastruktur final ditetapkan, lewat proses seperti penyusunan</w:t>
      </w:r>
      <w:r>
        <w:t xml:space="preserve"> </w:t>
      </w:r>
      <w:r>
        <w:rPr>
          <w:i/>
          <w:iCs/>
        </w:rPr>
        <w:t xml:space="preserve">functional brief</w:t>
      </w:r>
      <w:r>
        <w:t xml:space="preserve">, konsultasi kelompok pengguna, penajaman desain konsep, dan</w:t>
      </w:r>
      <w:r>
        <w:t xml:space="preserve"> </w:t>
      </w:r>
      <w:r>
        <w:rPr>
          <w:i/>
          <w:iCs/>
        </w:rPr>
        <w:t xml:space="preserve">market sounding</w:t>
      </w:r>
      <w:r>
        <w:t xml:space="preserve">.</w:t>
      </w:r>
    </w:p>
    <w:p>
      <w:pPr>
        <w:pStyle w:val="BodyText"/>
      </w:pPr>
      <w:r>
        <w:t xml:space="preserve">Kesalahpahaman yang paling sering muncul adalah menyamakan VfM dengan</w:t>
      </w:r>
      <w:r>
        <w:t xml:space="preserve"> </w:t>
      </w:r>
      <w:r>
        <w:t xml:space="preserve">“yang paling murah”</w:t>
      </w:r>
      <w:r>
        <w:t xml:space="preserve">. Bukan itu. Yang dibandingkan adalah paket manfaat terhadap biaya sepanjang siklus hidup proyek, bukan angka di halaman depan.</w:t>
      </w:r>
    </w:p>
    <w:bookmarkEnd w:id="19"/>
    <w:bookmarkStart w:id="20" w:name="Xd5b7b8a15591c0859149e9bfcaec158effb0ce3"/>
    <w:p>
      <w:pPr>
        <w:pStyle w:val="Heading2"/>
      </w:pPr>
      <w:r>
        <w:t xml:space="preserve">Dua cara menilai: kualitatif dan kuantitatif</w:t>
      </w:r>
    </w:p>
    <w:p>
      <w:pPr>
        <w:pStyle w:val="FirstParagraph"/>
      </w:pPr>
      <w:r>
        <w:t xml:space="preserve">Penilaian VfM dijalankan dua kali dengan alat berbeda. Penilaian kualitatif menimbang tiga dimensi: kelayakan proyek (</w:t>
      </w:r>
      <w:r>
        <w:rPr>
          <w:i/>
          <w:iCs/>
        </w:rPr>
        <w:t xml:space="preserve">viability</w:t>
      </w:r>
      <w:r>
        <w:t xml:space="preserve">), urgensi kebutuhan (</w:t>
      </w:r>
      <w:r>
        <w:rPr>
          <w:i/>
          <w:iCs/>
        </w:rPr>
        <w:t xml:space="preserve">desirability</w:t>
      </w:r>
      <w:r>
        <w:t xml:space="preserve">), dan kemungkinan ketercapaian (</w:t>
      </w:r>
      <w:r>
        <w:rPr>
          <w:i/>
          <w:iCs/>
        </w:rPr>
        <w:t xml:space="preserve">achievability</w:t>
      </w:r>
      <w:r>
        <w:t xml:space="preserve">). Penilaian kuantitatif memakai</w:t>
      </w:r>
      <w:r>
        <w:t xml:space="preserve"> </w:t>
      </w:r>
      <w:r>
        <w:rPr>
          <w:i/>
          <w:iCs/>
        </w:rPr>
        <w:t xml:space="preserve">public sector comparator</w:t>
      </w:r>
      <w:r>
        <w:t xml:space="preserve"> </w:t>
      </w:r>
      <w:r>
        <w:t xml:space="preserve">(PSC), yang menghitung biaya siklus hidup proyek bila dibiayai penuh dana publik, lalu membandingkannya dengan proyeksi biaya KPBU.</w:t>
      </w:r>
    </w:p>
    <w:p>
      <w:pPr>
        <w:pStyle w:val="BodyText"/>
      </w:pPr>
      <w:r>
        <w:t xml:space="preserve">Tiga dimensi itu sebetulnya tiga pertanyaan sederhana:</w:t>
      </w:r>
    </w:p>
    <w:p>
      <w:pPr>
        <w:pStyle w:val="Compact"/>
        <w:numPr>
          <w:ilvl w:val="0"/>
          <w:numId w:val="1001"/>
        </w:numPr>
      </w:pPr>
      <w:r>
        <w:rPr>
          <w:b/>
          <w:bCs/>
          <w:i/>
          <w:iCs/>
        </w:rPr>
        <w:t xml:space="preserve">Viability</w:t>
      </w:r>
      <w:r>
        <w:t xml:space="preserve">: apakah proyek bisa dijalankan secara teknis, hukum, dan finansial?</w:t>
      </w:r>
    </w:p>
    <w:p>
      <w:pPr>
        <w:pStyle w:val="Compact"/>
        <w:numPr>
          <w:ilvl w:val="0"/>
          <w:numId w:val="1001"/>
        </w:numPr>
      </w:pPr>
      <w:r>
        <w:rPr>
          <w:b/>
          <w:bCs/>
          <w:i/>
          <w:iCs/>
        </w:rPr>
        <w:t xml:space="preserve">Desirability</w:t>
      </w:r>
      <w:r>
        <w:t xml:space="preserve">: seberapa mendesak infrastruktur ini dibutuhkan penggunanya?</w:t>
      </w:r>
    </w:p>
    <w:p>
      <w:pPr>
        <w:pStyle w:val="Compact"/>
        <w:numPr>
          <w:ilvl w:val="0"/>
          <w:numId w:val="1001"/>
        </w:numPr>
      </w:pPr>
      <w:r>
        <w:rPr>
          <w:b/>
          <w:bCs/>
          <w:i/>
          <w:iCs/>
        </w:rPr>
        <w:t xml:space="preserve">Achievability</w:t>
      </w:r>
      <w:r>
        <w:t xml:space="preserve">: seberapa realistis proyek ini terlaksana dan berhasil?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Penilaian kualitatif</w:t>
            </w:r>
          </w:p>
        </w:tc>
        <w:tc>
          <w:tcPr/>
          <w:p>
            <w:pPr>
              <w:pStyle w:val="Compact"/>
            </w:pPr>
            <w:r>
              <w:t xml:space="preserve">Penilaian kuantitatif</w:t>
            </w:r>
          </w:p>
        </w:tc>
      </w:tr>
      <w:tr>
        <w:tc>
          <w:tcPr/>
          <w:p>
            <w:pPr>
              <w:pStyle w:val="Compact"/>
            </w:pPr>
            <w:r>
              <w:t xml:space="preserve">Alat</w:t>
            </w:r>
          </w:p>
        </w:tc>
        <w:tc>
          <w:tcPr/>
          <w:p>
            <w:pPr>
              <w:pStyle w:val="Compact"/>
            </w:pPr>
            <w:r>
              <w:t xml:space="preserve">Tiga dimensi</w:t>
            </w:r>
            <w:r>
              <w:t xml:space="preserve"> </w:t>
            </w:r>
            <w:r>
              <w:rPr>
                <w:i/>
                <w:iCs/>
              </w:rPr>
              <w:t xml:space="preserve">viability</w:t>
            </w:r>
            <w:r>
              <w:t xml:space="preserve">,</w:t>
            </w:r>
            <w:r>
              <w:t xml:space="preserve"> </w:t>
            </w:r>
            <w:r>
              <w:rPr>
                <w:i/>
                <w:iCs/>
              </w:rPr>
              <w:t xml:space="preserve">desirability</w:t>
            </w:r>
            <w:r>
              <w:t xml:space="preserve">,</w:t>
            </w:r>
            <w:r>
              <w:t xml:space="preserve"> </w:t>
            </w:r>
            <w:r>
              <w:rPr>
                <w:i/>
                <w:iCs/>
              </w:rPr>
              <w:t xml:space="preserve">achievability</w:t>
            </w:r>
          </w:p>
        </w:tc>
        <w:tc>
          <w:tcPr/>
          <w:p>
            <w:pPr>
              <w:pStyle w:val="Compact"/>
            </w:pPr>
            <w:r>
              <w:rPr>
                <w:i/>
                <w:iCs/>
              </w:rPr>
              <w:t xml:space="preserve">Public sector comparator</w:t>
            </w:r>
            <w:r>
              <w:t xml:space="preserve"> </w:t>
            </w:r>
            <w:r>
              <w:t xml:space="preserve">(PSC)</w:t>
            </w:r>
          </w:p>
        </w:tc>
      </w:tr>
      <w:tr>
        <w:tc>
          <w:tcPr/>
          <w:p>
            <w:pPr>
              <w:pStyle w:val="Compact"/>
            </w:pPr>
            <w:r>
              <w:t xml:space="preserve">Yang diukur</w:t>
            </w:r>
          </w:p>
        </w:tc>
        <w:tc>
          <w:tcPr/>
          <w:p>
            <w:pPr>
              <w:pStyle w:val="Compact"/>
            </w:pPr>
            <w:r>
              <w:t xml:space="preserve">Kelayakan, urgensi, realisme pelaksanaan</w:t>
            </w:r>
          </w:p>
        </w:tc>
        <w:tc>
          <w:tcPr/>
          <w:p>
            <w:pPr>
              <w:pStyle w:val="Compact"/>
            </w:pPr>
            <w:r>
              <w:t xml:space="preserve">Biaya siklus hidup bila dibiayai publik</w:t>
            </w:r>
          </w:p>
        </w:tc>
      </w:tr>
      <w:tr>
        <w:tc>
          <w:tcPr/>
          <w:p>
            <w:pPr>
              <w:pStyle w:val="Compact"/>
            </w:pPr>
            <w:r>
              <w:t xml:space="preserve">Keluaran</w:t>
            </w:r>
          </w:p>
        </w:tc>
        <w:tc>
          <w:tcPr/>
          <w:p>
            <w:pPr>
              <w:pStyle w:val="Compact"/>
            </w:pPr>
            <w:r>
              <w:t xml:space="preserve">Penilaian menyeluruh, bukan semata angka</w:t>
            </w:r>
          </w:p>
        </w:tc>
        <w:tc>
          <w:tcPr/>
          <w:p>
            <w:pPr>
              <w:pStyle w:val="Compact"/>
            </w:pPr>
            <w:r>
              <w:t xml:space="preserve">Angka pembanding proyeksi biaya KPBU</w:t>
            </w:r>
          </w:p>
        </w:tc>
      </w:tr>
      <w:tr>
        <w:tc>
          <w:tcPr/>
          <w:p>
            <w:pPr>
              <w:pStyle w:val="Compact"/>
            </w:pPr>
            <w:r>
              <w:t xml:space="preserve">Keterbatasan</w:t>
            </w:r>
          </w:p>
        </w:tc>
        <w:tc>
          <w:tcPr/>
          <w:p>
            <w:pPr>
              <w:pStyle w:val="Compact"/>
            </w:pPr>
            <w:r>
              <w:t xml:space="preserve">Bergantung</w:t>
            </w:r>
            <w:r>
              <w:t xml:space="preserve"> </w:t>
            </w:r>
            <w:r>
              <w:rPr>
                <w:i/>
                <w:iCs/>
              </w:rPr>
              <w:t xml:space="preserve">judgment</w:t>
            </w:r>
            <w:r>
              <w:t xml:space="preserve"> </w:t>
            </w:r>
            <w:r>
              <w:t xml:space="preserve">penyusun</w:t>
            </w:r>
          </w:p>
        </w:tc>
        <w:tc>
          <w:tcPr/>
          <w:p>
            <w:pPr>
              <w:pStyle w:val="Compact"/>
            </w:pPr>
            <w:r>
              <w:t xml:space="preserve">Bergantung kualitas asumsi dan data biaya</w:t>
            </w:r>
          </w:p>
        </w:tc>
      </w:tr>
    </w:tbl>
    <w:p>
      <w:pPr>
        <w:pStyle w:val="BodyText"/>
      </w:pPr>
      <w:r>
        <w:t xml:space="preserve">Agar tidak tertukar, portal KPBU Kementerian Keuangan sebenarnya memuat dua kerangka VfM di halaman berbeda. Halaman persyaratan proyek memakai indikator ekonomi, efisien, efektif; halaman kajian yang dirujuk di sini memakai</w:t>
      </w:r>
      <w:r>
        <w:t xml:space="preserve"> </w:t>
      </w:r>
      <w:r>
        <w:rPr>
          <w:i/>
          <w:iCs/>
        </w:rPr>
        <w:t xml:space="preserve">viability</w:t>
      </w:r>
      <w:r>
        <w:t xml:space="preserve">,</w:t>
      </w:r>
      <w:r>
        <w:t xml:space="preserve"> </w:t>
      </w:r>
      <w:r>
        <w:rPr>
          <w:i/>
          <w:iCs/>
        </w:rPr>
        <w:t xml:space="preserve">desirability</w:t>
      </w:r>
      <w:r>
        <w:t xml:space="preserve">,</w:t>
      </w:r>
      <w:r>
        <w:t xml:space="preserve"> </w:t>
      </w:r>
      <w:r>
        <w:rPr>
          <w:i/>
          <w:iCs/>
        </w:rPr>
        <w:t xml:space="preserve">achievability</w:t>
      </w:r>
      <w:r>
        <w:t xml:space="preserve"> </w:t>
      </w:r>
      <w:r>
        <w:t xml:space="preserve">beserta PSC. Keduanya sah, tetapi jangan digabung menjadi satu daftar</w:t>
      </w:r>
      <w:r>
        <w:t xml:space="preserve"> </w:t>
      </w:r>
      <w:r>
        <w:t xml:space="preserve">“tiga dimensi”</w:t>
      </w:r>
      <w:r>
        <w:t xml:space="preserve">.</w:t>
      </w:r>
    </w:p>
    <w:bookmarkEnd w:id="20"/>
    <w:bookmarkStart w:id="22" w:name="X7d85b827d3f5399826b0f2c636a52313fd5da21"/>
    <w:p>
      <w:pPr>
        <w:pStyle w:val="Heading2"/>
      </w:pPr>
      <w:r>
        <w:t xml:space="preserve">Bagaimana public sector comparator dihitung?</w:t>
      </w:r>
    </w:p>
    <w:p>
      <w:pPr>
        <w:pStyle w:val="FirstParagraph"/>
      </w:pPr>
      <w:r>
        <w:t xml:space="preserve">PSC adalah estimasi biaya siklus hidup proyek apabila dibangun dan dioperasikan sepenuhnya dengan dana publik konvensional, menurut Kementerian Keuangan. Ia disusun dari lima komponen, lalu disandingkan dengan proyeksi biaya skema KPBU yang sudah disesuaikan risiko. Selisih antara keduanya, bukan salah satunya sendiri, yang menjadi bahan keputusan.</w:t>
      </w:r>
    </w:p>
    <w:p>
      <w:pPr>
        <w:pStyle w:val="Compact"/>
        <w:numPr>
          <w:ilvl w:val="0"/>
          <w:numId w:val="1002"/>
        </w:numPr>
      </w:pPr>
      <w:r>
        <w:rPr>
          <w:b/>
          <w:bCs/>
        </w:rPr>
        <w:t xml:space="preserve">Biaya konstruksi</w:t>
      </w:r>
      <w:r>
        <w:t xml:space="preserve">: estimasi membangun dengan dana publik.</w:t>
      </w:r>
    </w:p>
    <w:p>
      <w:pPr>
        <w:pStyle w:val="Compact"/>
        <w:numPr>
          <w:ilvl w:val="0"/>
          <w:numId w:val="1002"/>
        </w:numPr>
      </w:pPr>
      <w:r>
        <w:rPr>
          <w:b/>
          <w:bCs/>
        </w:rPr>
        <w:t xml:space="preserve">Biaya operasi dan pemeliharaan</w:t>
      </w:r>
      <w:r>
        <w:t xml:space="preserve">: sepanjang masa konsesi atau masa manfaat.</w:t>
      </w:r>
    </w:p>
    <w:p>
      <w:pPr>
        <w:pStyle w:val="Compact"/>
        <w:numPr>
          <w:ilvl w:val="0"/>
          <w:numId w:val="1002"/>
        </w:numPr>
      </w:pPr>
      <w:r>
        <w:rPr>
          <w:b/>
          <w:bCs/>
        </w:rPr>
        <w:t xml:space="preserve">Penyesuaian risiko</w:t>
      </w:r>
      <w:r>
        <w:t xml:space="preserve"> </w:t>
      </w:r>
      <w:r>
        <w:t xml:space="preserve">(</w:t>
      </w:r>
      <w:r>
        <w:rPr>
          <w:i/>
          <w:iCs/>
        </w:rPr>
        <w:t xml:space="preserve">risk adjustment</w:t>
      </w:r>
      <w:r>
        <w:t xml:space="preserve">): nilai risiko yang dialihkan ke badan usaha dibanding risiko yang ditahan pemerintah.</w:t>
      </w:r>
    </w:p>
    <w:p>
      <w:pPr>
        <w:pStyle w:val="Compact"/>
        <w:numPr>
          <w:ilvl w:val="0"/>
          <w:numId w:val="1002"/>
        </w:numPr>
      </w:pPr>
      <w:r>
        <w:rPr>
          <w:b/>
          <w:bCs/>
        </w:rPr>
        <w:t xml:space="preserve">Netralitas kompetitif</w:t>
      </w:r>
      <w:r>
        <w:t xml:space="preserve"> </w:t>
      </w:r>
      <w:r>
        <w:t xml:space="preserve">(</w:t>
      </w:r>
      <w:r>
        <w:rPr>
          <w:i/>
          <w:iCs/>
        </w:rPr>
        <w:t xml:space="preserve">competitive neutrality</w:t>
      </w:r>
      <w:r>
        <w:t xml:space="preserve">): faktor penyeimbang agar perbandingan sektor publik dan swasta adil.</w:t>
      </w:r>
    </w:p>
    <w:p>
      <w:pPr>
        <w:pStyle w:val="Compact"/>
        <w:numPr>
          <w:ilvl w:val="0"/>
          <w:numId w:val="1002"/>
        </w:numPr>
      </w:pPr>
      <w:r>
        <w:rPr>
          <w:b/>
          <w:bCs/>
        </w:rPr>
        <w:t xml:space="preserve">Biaya pemenuhan standar kinerja</w:t>
      </w:r>
      <w:r>
        <w:t xml:space="preserve">: biaya memenuhi spesifikasi keluaran dan kualitas layanan.</w:t>
      </w:r>
    </w:p>
    <w:p>
      <w:pPr>
        <w:pStyle w:val="FirstParagraph"/>
      </w:pPr>
      <w:r>
        <w:t xml:space="preserve">Komponen ketiga paling sering dikerjakan setengah jalan: penyesuaian risiko hanya sebaik daftar risiko yang disusun di awal, dan risiko yang tak pernah diidentifikasi tidak akan muncul di kolom mana pun. Karena itu membaca tabel PSC secara kritis adalah kompetensi tim penyiapan proyek, bukan urusan konsultan semata; materi semacam ini juga masuk agenda</w:t>
      </w:r>
      <w:r>
        <w:t xml:space="preserve"> </w:t>
      </w:r>
      <w:hyperlink r:id="rId21">
        <w:r>
          <w:rPr>
            <w:rStyle w:val="Hyperlink"/>
          </w:rPr>
          <w:t xml:space="preserve">capacity building pembiayaan kreatif</w:t>
        </w:r>
      </w:hyperlink>
      <w:r>
        <w:t xml:space="preserve">.</w:t>
      </w:r>
    </w:p>
    <w:bookmarkEnd w:id="22"/>
    <w:bookmarkStart w:id="23" w:name="X41e5b30a04a4221b7f1535cf2e022ce7deb573a"/>
    <w:p>
      <w:pPr>
        <w:pStyle w:val="Heading2"/>
      </w:pPr>
      <w:r>
        <w:t xml:space="preserve">Menguji logikanya pada Tol Semarang-Demak yang terintegrasi tanggul laut</w:t>
      </w:r>
    </w:p>
    <w:p>
      <w:pPr>
        <w:pStyle w:val="FirstParagraph"/>
      </w:pPr>
      <w:r>
        <w:t xml:space="preserve">Jalan Tol Semarang-Demak sepanjang 26,95 km adalah salah satu kasus paling jernih untuk memisahkan layak ekonomi dari layak finansial. Proyek Strategis Nasional di bawah Perpres 109/2020 ini terbagi dua seksi: satu berfungsi sebagai tanggul laut penahan banjir rob dan tidak bertarif, satu lain sebagai jalan tol berbayar berskema KPBU. PJPK-nya Badan Pengatur Jalan Tol, Kementerian PU.</w:t>
      </w:r>
    </w:p>
    <w:p>
      <w:pPr>
        <w:pStyle w:val="BodyText"/>
      </w:pPr>
      <w:r>
        <w:t xml:space="preserve">Tiga angka beredar untuk proyek ini, masing-masing mengukur hal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Angka</w:t>
            </w:r>
          </w:p>
        </w:tc>
        <w:tc>
          <w:tcPr/>
          <w:p>
            <w:pPr>
              <w:pStyle w:val="Compact"/>
            </w:pPr>
            <w:r>
              <w:t xml:space="preserve">Yang diukur</w:t>
            </w:r>
          </w:p>
        </w:tc>
        <w:tc>
          <w:tcPr/>
          <w:p>
            <w:pPr>
              <w:pStyle w:val="Compact"/>
            </w:pPr>
            <w:r>
              <w:t xml:space="preserve">Cakupan</w:t>
            </w:r>
          </w:p>
        </w:tc>
        <w:tc>
          <w:tcPr/>
          <w:p>
            <w:pPr>
              <w:pStyle w:val="Compact"/>
            </w:pPr>
            <w:r>
              <w:t xml:space="preserve">Sumber dan tanggal</w:t>
            </w:r>
          </w:p>
        </w:tc>
      </w:tr>
      <w:tr>
        <w:tc>
          <w:tcPr/>
          <w:p>
            <w:pPr>
              <w:pStyle w:val="Compact"/>
            </w:pPr>
            <w:r>
              <w:t xml:space="preserve">Rp 5,44 triliun (indikatif)</w:t>
            </w:r>
          </w:p>
        </w:tc>
        <w:tc>
          <w:tcPr/>
          <w:p>
            <w:pPr>
              <w:pStyle w:val="Compact"/>
            </w:pPr>
            <w:r>
              <w:t xml:space="preserve">Nilai investasi/Capex skema KPBU</w:t>
            </w:r>
          </w:p>
        </w:tc>
        <w:tc>
          <w:tcPr/>
          <w:p>
            <w:pPr>
              <w:pStyle w:val="Compact"/>
            </w:pPr>
            <w:r>
              <w:t xml:space="preserve">Seksi 2, Sayung-Demak, 16,31 km</w:t>
            </w:r>
          </w:p>
        </w:tc>
        <w:tc>
          <w:tcPr/>
          <w:p>
            <w:pPr>
              <w:pStyle w:val="Compact"/>
            </w:pPr>
            <w:r>
              <w:t xml:space="preserve">Portal KPBU Kemenkeu; Kemenko Perekonomian, 7 Maret 2024</w:t>
            </w:r>
          </w:p>
        </w:tc>
      </w:tr>
      <w:tr>
        <w:tc>
          <w:tcPr/>
          <w:p>
            <w:pPr>
              <w:pStyle w:val="Compact"/>
            </w:pPr>
            <w:r>
              <w:t xml:space="preserve">Rp 10,56 triliun (indikatif, 2022), direvisi menjadi Rp 10,9 triliun termasuk PPN atau Rp 10,05 triliun nilai konstruksi (indikatif, 2026)</w:t>
            </w:r>
          </w:p>
        </w:tc>
        <w:tc>
          <w:tcPr/>
          <w:p>
            <w:pPr>
              <w:pStyle w:val="Compact"/>
            </w:pPr>
            <w:r>
              <w:t xml:space="preserve">Kebutuhan biaya porsi pemerintah</w:t>
            </w:r>
          </w:p>
        </w:tc>
        <w:tc>
          <w:tcPr/>
          <w:p>
            <w:pPr>
              <w:pStyle w:val="Compact"/>
            </w:pPr>
            <w:r>
              <w:t xml:space="preserve">Seksi 1, non-tol</w:t>
            </w:r>
          </w:p>
        </w:tc>
        <w:tc>
          <w:tcPr/>
          <w:p>
            <w:pPr>
              <w:pStyle w:val="Compact"/>
            </w:pPr>
            <w:r>
              <w:t xml:space="preserve">Pemberitaan bertanggal Kompas.com, 2 Februari 2022 dan 11 Mei 2026</w:t>
            </w:r>
          </w:p>
        </w:tc>
      </w:tr>
      <w:tr>
        <w:tc>
          <w:tcPr/>
          <w:p>
            <w:pPr>
              <w:pStyle w:val="Compact"/>
            </w:pPr>
            <w:r>
              <w:t xml:space="preserve">Rp 9,7 triliun (belum terverifikasi)</w:t>
            </w:r>
          </w:p>
        </w:tc>
        <w:tc>
          <w:tcPr/>
          <w:p>
            <w:pPr>
              <w:pStyle w:val="Compact"/>
            </w:pPr>
            <w:r>
              <w:t xml:space="preserve">Disebut</w:t>
            </w:r>
            <w:r>
              <w:t xml:space="preserve"> </w:t>
            </w:r>
            <w:r>
              <w:t xml:space="preserve">“Dukungan Konstruksi Pemerintah”</w:t>
            </w:r>
          </w:p>
        </w:tc>
        <w:tc>
          <w:tcPr/>
          <w:p>
            <w:pPr>
              <w:pStyle w:val="Compact"/>
            </w:pPr>
            <w:r>
              <w:t xml:space="preserve">Tidak jelas</w:t>
            </w:r>
          </w:p>
        </w:tc>
        <w:tc>
          <w:tcPr/>
          <w:p>
            <w:pPr>
              <w:pStyle w:val="Compact"/>
            </w:pPr>
            <w:r>
              <w:t xml:space="preserve">Beredar di hasil pencarian, gagal ditelusuri ke halaman primer bertanggal; tidak dipakai di sini</w:t>
            </w:r>
          </w:p>
        </w:tc>
      </w:tr>
    </w:tbl>
    <w:p>
      <w:pPr>
        <w:pStyle w:val="BodyText"/>
      </w:pPr>
      <w:r>
        <w:t xml:space="preserve">Menjumlahkan ketiganya, atau memilih salah satunya sebagai</w:t>
      </w:r>
      <w:r>
        <w:t xml:space="preserve"> </w:t>
      </w:r>
      <w:r>
        <w:t xml:space="preserve">“nilai proyek”</w:t>
      </w:r>
      <w:r>
        <w:t xml:space="preserve">, menghasilkan angka yang tidak berarti apa pun. Revisi anggaran Seksi 1 juga bukan tanda pembengkakan; kontrak multi-tahun lazim mengalami pembaruan nominal. Angka</w:t>
      </w:r>
      <w:r>
        <w:t xml:space="preserve"> </w:t>
      </w:r>
      <w:r>
        <w:t xml:space="preserve">“10,56”</w:t>
      </w:r>
      <w:r>
        <w:t xml:space="preserve"> </w:t>
      </w:r>
      <w:r>
        <w:t xml:space="preserve">juga pernah muncul sebagai persentase progres konstruksi Seksi 2, sama sekali tak berkaitan dengan Rp 10,56 triliun.</w:t>
      </w:r>
    </w:p>
    <w:p>
      <w:pPr>
        <w:pStyle w:val="BodyText"/>
      </w:pPr>
      <w:r>
        <w:t xml:space="preserve">Panjang Seksi 1 pun belum seragam antarsumber. Kemenko Perekonomian (7 Maret 2024) dan pemberitaan 2022 mencatat 10,39 km; Kementerian PU (2023), BPJT (2024), dan Bina Marga (19 Februari 2025) mencatat 10,64 km. Selisihnya kecil, tetapi instruktif: angka paling dasar pun perlu dikutip bersama sumber dan tahunnya.</w:t>
      </w:r>
    </w:p>
    <w:p>
      <w:pPr>
        <w:pStyle w:val="BodyText"/>
      </w:pPr>
      <w:r>
        <w:t xml:space="preserve">Seksi 1 dibangun langsung oleh negara, bukan sebagai proyek KPBU, dengan 15% APBN dan 85% pinjaman luar negeri (Bina Marga, 19 Februari 2025). Di dalamnya ada tanggul laut 6,7 km dan kolam retensi 7,9 juta m³. Progres konstruksi 32,67% (19 Februari 2025), target penyelesaian 2027. Seksi 2 (16,31 km) beroperasi sejak 25 Februari 2023 dan mengembalikan investasi lewat tarif tol; satu halaman Kemenkeu mencatat masa konsesi 35 tahun, angka yang belum disilangkan ke sumber kedua.</w:t>
      </w:r>
    </w:p>
    <w:p>
      <w:pPr>
        <w:pStyle w:val="BodyText"/>
      </w:pPr>
      <w:r>
        <w:t xml:space="preserve">Pembacaan berikut adalah interpretasi atas fakta di atas, bukan kutipan dokumen resmi. Negara memegang komponen yang layak secara ekonomi tetapi tidak berpendapatan, yaitu tanggul laut; komponen penghasil arus kas ditransaksikan ke badan usaha. Di situlah garis antara kelayakan ekonomi (EIRR, ENPV) dan kelayakan finansial (FIRR, DSCR) terlihat tanpa perlu diagram.</w:t>
      </w:r>
    </w:p>
    <w:bookmarkEnd w:id="23"/>
    <w:bookmarkStart w:id="26" w:name="X5325245cfbd7cab34676749aaa6547ac25b492e"/>
    <w:p>
      <w:pPr>
        <w:pStyle w:val="Heading2"/>
      </w:pPr>
      <w:r>
        <w:t xml:space="preserve">Apa yang TIDAK dibuktikan oleh skor value for money</w:t>
      </w:r>
    </w:p>
    <w:p>
      <w:pPr>
        <w:pStyle w:val="FirstParagraph"/>
      </w:pPr>
      <w:r>
        <w:t xml:space="preserve">Skor VfM membuktikan satu hal saja: bahwa skema yang dipilih lebih baik daripada alternatifnya, berdasarkan asumsi yang dipakai pada saat penilaian. Ia tidak membuktikan proyek akan selesai tepat waktu, tidak menjamin mutu pelaksanaan kontrak, dan tidak mengoreksi risiko yang luput diidentifikasi di tahap penyiapan.</w:t>
      </w:r>
    </w:p>
    <w:p>
      <w:pPr>
        <w:pStyle w:val="BodyText"/>
      </w:pPr>
      <w:r>
        <w:t xml:space="preserve">Halaman rujukan Kementerian Keuangan tadi juga tidak mencantumkan nomor peraturan sebagai dasar hukum penilaian VfM, sehingga landasan regulasinya harus ditelusuri terpisah.</w:t>
      </w:r>
    </w:p>
    <w:p>
      <w:pPr>
        <w:pStyle w:val="BodyText"/>
      </w:pPr>
      <w:r>
        <w:t xml:space="preserve">Instrumen yang paling sering disalahpahami adalah dukungan kelayakan. Menurut</w:t>
      </w:r>
      <w:r>
        <w:t xml:space="preserve"> </w:t>
      </w:r>
      <w:hyperlink r:id="rId24">
        <w:r>
          <w:rPr>
            <w:rStyle w:val="Hyperlink"/>
          </w:rPr>
          <w:t xml:space="preserve">definisi resmi dukungan kelayakan</w:t>
        </w:r>
      </w:hyperlink>
      <w:r>
        <w:t xml:space="preserve"> </w:t>
      </w:r>
      <w:r>
        <w:t xml:space="preserve">Kementerian Keuangan, instrumen ini</w:t>
      </w:r>
      <w:r>
        <w:t xml:space="preserve"> </w:t>
      </w:r>
      <w:r>
        <w:t xml:space="preserve">“dapat diberikan setelah tidak terdapat lagi alternatif lain untuk membuat Proyek Kerja Sama layak secara finansial”</w:t>
      </w:r>
      <w:r>
        <w:t xml:space="preserve">, dengan syarat nilai investasi minimum Rp 100 miliar (indikatif, ketentuan 2026). Jalan terakhir, bukan pilihan pertama.</w:t>
      </w:r>
    </w:p>
    <w:p>
      <w:pPr>
        <w:pStyle w:val="BodyText"/>
      </w:pPr>
      <w:r>
        <w:t xml:space="preserve">Sikap jujur yang sama berlaku pada data. Tab</w:t>
      </w:r>
      <w:r>
        <w:t xml:space="preserve"> </w:t>
      </w:r>
      <w:r>
        <w:t xml:space="preserve">“Potensi Dukungan Pemerintah”</w:t>
      </w:r>
      <w:r>
        <w:t xml:space="preserve"> </w:t>
      </w:r>
      <w:r>
        <w:t xml:space="preserve">di halaman resmi proyek Tol Semarang-Demak ada, tetapi tidak menampilkan angka saat diakses 21 September 2026, sehingga mekanisme dukungan untuk Seksi 2 tidak bisa diklaim di sini. Kerangka praktik baik PPP internasional, termasuk yang mendasari sertifikasi CP3P (</w:t>
      </w:r>
      <w:r>
        <w:rPr>
          <w:i/>
          <w:iCs/>
        </w:rPr>
        <w:t xml:space="preserve">Certified Public-Private Partnership Professional</w:t>
      </w:r>
      <w:r>
        <w:t xml:space="preserve">) milik APMG International, memberi kosakata yang rapi, tetapi jalur</w:t>
      </w:r>
      <w:r>
        <w:t xml:space="preserve"> </w:t>
      </w:r>
      <w:hyperlink r:id="rId25">
        <w:r>
          <w:rPr>
            <w:rStyle w:val="Hyperlink"/>
          </w:rPr>
          <w:t xml:space="preserve">sertifikasi KPBU</w:t>
        </w:r>
      </w:hyperlink>
      <w:r>
        <w:t xml:space="preserve"> </w:t>
      </w:r>
      <w:r>
        <w:t xml:space="preserve">mana pun tetap perlu disandingkan dengan ketentuan domestik.</w:t>
      </w:r>
    </w:p>
    <w:bookmarkEnd w:id="26"/>
    <w:bookmarkStart w:id="32" w:name="faq-pertanyaan-yang-sering-diajukan"/>
    <w:p>
      <w:pPr>
        <w:pStyle w:val="Heading2"/>
      </w:pPr>
      <w:r>
        <w:t xml:space="preserve">FAQ (Pertanyaan yang Sering Diajukan)</w:t>
      </w:r>
    </w:p>
    <w:bookmarkStart w:id="27" w:name="Xbb0264af07605d4fe2a9acaa7d99fa29947874d"/>
    <w:p>
      <w:pPr>
        <w:pStyle w:val="Heading3"/>
      </w:pPr>
      <w:r>
        <w:t xml:space="preserve">Apa bedanya value for money kualitatif dan kuantitatif?</w:t>
      </w:r>
    </w:p>
    <w:p>
      <w:pPr>
        <w:pStyle w:val="FirstParagraph"/>
      </w:pPr>
      <w:r>
        <w:t xml:space="preserve">Menurut kerangka kajian VfM Kementerian Keuangan (halaman diakses 2026), penilaian kualitatif menimbang tiga dimensi: kelayakan proyek (</w:t>
      </w:r>
      <w:r>
        <w:rPr>
          <w:i/>
          <w:iCs/>
        </w:rPr>
        <w:t xml:space="preserve">viability</w:t>
      </w:r>
      <w:r>
        <w:t xml:space="preserve">), urgensi (</w:t>
      </w:r>
      <w:r>
        <w:rPr>
          <w:i/>
          <w:iCs/>
        </w:rPr>
        <w:t xml:space="preserve">desirability</w:t>
      </w:r>
      <w:r>
        <w:t xml:space="preserve">), dan kemungkinan ketercapaian (</w:t>
      </w:r>
      <w:r>
        <w:rPr>
          <w:i/>
          <w:iCs/>
        </w:rPr>
        <w:t xml:space="preserve">achievability</w:t>
      </w:r>
      <w:r>
        <w:t xml:space="preserve">). Penilaian kuantitatif memakai</w:t>
      </w:r>
      <w:r>
        <w:t xml:space="preserve"> </w:t>
      </w:r>
      <w:r>
        <w:rPr>
          <w:i/>
          <w:iCs/>
        </w:rPr>
        <w:t xml:space="preserve">public sector comparator</w:t>
      </w:r>
      <w:r>
        <w:t xml:space="preserve">, yang menghitung biaya siklus hidup proyek bila dibangun dengan dana publik, lalu membandingkannya dengan proyeksi biaya KPBU yang sudah disesuaikan risiko.</w:t>
      </w:r>
    </w:p>
    <w:bookmarkEnd w:id="27"/>
    <w:bookmarkStart w:id="28" w:name="apa-itu-public-sector-comparator"/>
    <w:p>
      <w:pPr>
        <w:pStyle w:val="Heading3"/>
      </w:pPr>
      <w:r>
        <w:t xml:space="preserve">Apa itu public sector comparator?</w:t>
      </w:r>
    </w:p>
    <w:p>
      <w:pPr>
        <w:pStyle w:val="FirstParagraph"/>
      </w:pPr>
      <w:r>
        <w:rPr>
          <w:i/>
          <w:iCs/>
        </w:rPr>
        <w:t xml:space="preserve">Public sector comparator</w:t>
      </w:r>
      <w:r>
        <w:t xml:space="preserve"> </w:t>
      </w:r>
      <w:r>
        <w:t xml:space="preserve">(PSC) adalah estimasi biaya siklus hidup proyek apabila dibangun dan dioperasikan sepenuhnya dengan dana publik konvensional, menurut Kementerian Keuangan. Perhitungannya mencakup lima komponen: biaya konstruksi, biaya operasi dan pemeliharaan, penyesuaian risiko, netralitas kompetitif, serta biaya pemenuhan standar kinerja.</w:t>
      </w:r>
    </w:p>
    <w:bookmarkEnd w:id="28"/>
    <w:bookmarkStart w:id="29" w:name="X28cc8d46bb43c866088a88c77cfb7e56a94934a"/>
    <w:p>
      <w:pPr>
        <w:pStyle w:val="Heading3"/>
      </w:pPr>
      <w:r>
        <w:t xml:space="preserve">Apakah value for money sama dengan mencari biaya termurah?</w:t>
      </w:r>
    </w:p>
    <w:p>
      <w:pPr>
        <w:pStyle w:val="FirstParagraph"/>
      </w:pPr>
      <w:r>
        <w:t xml:space="preserve">Tidak. VfM menilai kombinasi optimal manfaat dan biaya sepanjang siklus hidup proyek, bukan angka termurah di muka. Proyek berbiaya awal lebih tinggi tetap bisa unggul bila mutu layanan dan alokasi risikonya lebih baik, sementara opsi termurah kerap menyembunyikan biaya pemeliharaan atau risiko yang baru muncul di tahap operasi.</w:t>
      </w:r>
    </w:p>
    <w:bookmarkEnd w:id="29"/>
    <w:bookmarkStart w:id="30" w:name="X163640ff87e66a16794e0e6bdab8a7119abfa37"/>
    <w:p>
      <w:pPr>
        <w:pStyle w:val="Heading3"/>
      </w:pPr>
      <w:r>
        <w:t xml:space="preserve">Apa itu dukungan kelayakan (VGF) dan kapan sebuah proyek membutuhkannya?</w:t>
      </w:r>
    </w:p>
    <w:p>
      <w:pPr>
        <w:pStyle w:val="FirstParagraph"/>
      </w:pPr>
      <w:r>
        <w:t xml:space="preserve">Dukungan kelayakan atau</w:t>
      </w:r>
      <w:r>
        <w:t xml:space="preserve"> </w:t>
      </w:r>
      <w:r>
        <w:rPr>
          <w:i/>
          <w:iCs/>
        </w:rPr>
        <w:t xml:space="preserve">viability gap fund</w:t>
      </w:r>
      <w:r>
        <w:t xml:space="preserve"> </w:t>
      </w:r>
      <w:r>
        <w:t xml:space="preserve">adalah kontribusi tunai pemerintah atas sebagian biaya konstruksi, untuk proyek KPBU yang sudah layak ekonomi namun belum layak finansial. Kementerian Keuangan menegaskan instrumen ini baru diberikan setelah tidak ada alternatif lain, dengan syarat nilai investasi minimum Rp 100 miliar (indikatif, 2026).</w:t>
      </w:r>
    </w:p>
    <w:bookmarkEnd w:id="30"/>
    <w:bookmarkStart w:id="31" w:name="X4e822112f6dba6fcacf0df4fd9a3a524c9a1de0"/>
    <w:p>
      <w:pPr>
        <w:pStyle w:val="Heading3"/>
      </w:pPr>
      <w:r>
        <w:t xml:space="preserve">Apa bedanya layak secara ekonomi dan layak secara finansial?</w:t>
      </w:r>
    </w:p>
    <w:p>
      <w:pPr>
        <w:pStyle w:val="FirstParagraph"/>
      </w:pPr>
      <w:r>
        <w:t xml:space="preserve">Layak ekonomi berarti total manfaat proyek bagi masyarakat melebihi biayanya meski tidak seluruhnya berbentuk pendapatan tunai, diukur antara lain lewat EIRR dan ENPV. Layak finansial berarti arus kas proyek cukup menutup biaya operasi dan mengembalikan investasi, diukur lewat FIRR dan DSCR. Tol Semarang-Demak memperlihatkan keduanya dalam satu proyek. Seksi tanggul laut bermanfaat besar tanpa memungut tarif, sementara seksi tol berbayar harus menutup Capex indikatif Rp 5,44 triliun (2024) lewat pendapatan tarif.</w:t>
      </w:r>
    </w:p>
    <w:bookmarkEnd w:id="31"/>
    <w:bookmarkEnd w:id="32"/>
    <w:bookmarkStart w:id="33" w:name="kesimpulan"/>
    <w:p>
      <w:pPr>
        <w:pStyle w:val="Heading2"/>
      </w:pPr>
      <w:r>
        <w:t xml:space="preserve">Kesimpulan</w:t>
      </w:r>
    </w:p>
    <w:p>
      <w:pPr>
        <w:pStyle w:val="FirstParagraph"/>
      </w:pPr>
      <w:r>
        <w:t xml:space="preserve">Kembali ke dokumen yang tadi Anda buka. Frasa</w:t>
      </w:r>
      <w:r>
        <w:t xml:space="preserve"> </w:t>
      </w:r>
      <w:r>
        <w:rPr>
          <w:i/>
          <w:iCs/>
        </w:rPr>
        <w:t xml:space="preserve">value for money</w:t>
      </w:r>
      <w:r>
        <w:t xml:space="preserve"> </w:t>
      </w:r>
      <w:r>
        <w:t xml:space="preserve">di ringkasan eksekutif baru bernilai ketika Anda tahu metode mana yang dipakai, asumsi apa yang menopangnya, dan angka mana yang mengukur apa, seperti pada studi kasus proyek infrastruktur di Indonesia di atas. IIGF Institute, unit manajemen pengetahuan dan</w:t>
      </w:r>
      <w:r>
        <w:t xml:space="preserve"> </w:t>
      </w:r>
      <w:r>
        <w:rPr>
          <w:i/>
          <w:iCs/>
        </w:rPr>
        <w:t xml:space="preserve">think-tank</w:t>
      </w:r>
      <w:r>
        <w:t xml:space="preserve"> </w:t>
      </w:r>
      <w:r>
        <w:t xml:space="preserve">KPBU milik PT Penjaminan Infrastruktur Indonesia (Persero), menggarap tema ini lewat</w:t>
      </w:r>
      <w:r>
        <w:t xml:space="preserve"> </w:t>
      </w:r>
      <w:r>
        <w:rPr>
          <w:i/>
          <w:iCs/>
        </w:rPr>
        <w:t xml:space="preserve">working paper</w:t>
      </w:r>
      <w:r>
        <w:t xml:space="preserve"> </w:t>
      </w:r>
      <w:r>
        <w:t xml:space="preserve">“Penggunaan Model Keuangan Value for Money Kuantitatif untuk Infrastruktur Publik di Indonesia”</w:t>
      </w:r>
      <w:r>
        <w:t xml:space="preserve"> </w:t>
      </w:r>
      <w:r>
        <w:t xml:space="preserve">(Desember 2021). Kajian sejenis juga mendapat tempat di JIPM (</w:t>
      </w:r>
      <w:r>
        <w:rPr>
          <w:i/>
          <w:iCs/>
        </w:rPr>
        <w:t xml:space="preserve">Journal of Infrastructure Policy and Management</w:t>
      </w:r>
      <w:r>
        <w:t xml:space="preserve">), jurnal</w:t>
      </w:r>
      <w:r>
        <w:t xml:space="preserve"> </w:t>
      </w:r>
      <w:r>
        <w:rPr>
          <w:i/>
          <w:iCs/>
        </w:rPr>
        <w:t xml:space="preserve">peer-review double-blind</w:t>
      </w:r>
      <w:r>
        <w:t xml:space="preserve"> </w:t>
      </w:r>
      <w:r>
        <w:t xml:space="preserve">yang diterbitkan unit ini.</w:t>
      </w:r>
    </w:p>
    <w:p>
      <w:pPr>
        <w:pStyle w:val="BodyText"/>
      </w:pPr>
      <w:r>
        <w:t xml:space="preserve">Untuk menelusuri riset model keuangan VfM dan terbitan JIPM lain yang sejenis, institute.iigf.co.id adalah titik awalnya.</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institute.iigf.co.id/" TargetMode="External" /><Relationship Type="http://schemas.openxmlformats.org/officeDocument/2006/relationships/hyperlink" Id="rId21"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4" Target="https://kpbu.kemenkeu.go.id/read/37-40/pjpk/dukungan-pemerintah/dukungan-kelayakan" TargetMode="External" /><Relationship Type="http://schemas.openxmlformats.org/officeDocument/2006/relationships/hyperlink" Id="rId18" Target="https://kpbu.kemenkeu.go.id/read/69-214/umum/kajian-opini-publik/penilaian-vfm-value-for-money-dalam-penentuan-pemilihan-skema-penyediaan-infrastruktur-di-indonesia" TargetMode="External" /></Relationships>
</file>

<file path=word/_rels/footnotes.xml.rels><?xml version="1.0" encoding="UTF-8"?><Relationships xmlns="http://schemas.openxmlformats.org/package/2006/relationships"><Relationship Type="http://schemas.openxmlformats.org/officeDocument/2006/relationships/hyperlink" Id="rId25" Target="https://institute.iigf.co.id/" TargetMode="External" /><Relationship Type="http://schemas.openxmlformats.org/officeDocument/2006/relationships/hyperlink" Id="rId21"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4" Target="https://kpbu.kemenkeu.go.id/read/37-40/pjpk/dukungan-pemerintah/dukungan-kelayakan" TargetMode="External" /><Relationship Type="http://schemas.openxmlformats.org/officeDocument/2006/relationships/hyperlink" Id="rId18" Target="https://kpbu.kemenkeu.go.id/read/69-214/umum/kajian-opini-publik/penilaian-vfm-value-for-money-dalam-penentuan-pemilihan-skema-penyediaan-infrastruktur-di-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2026-09-21T23:58:48Z</dcterms:created>
  <dcterms:modified xsi:type="dcterms:W3CDTF">2026-09-21T23:58:48Z</dcterms:modified>
</cp:coreProperties>
</file>

<file path=docProps/custom.xml><?xml version="1.0" encoding="utf-8"?>
<Properties xmlns="http://schemas.openxmlformats.org/officeDocument/2006/custom-properties" xmlns:vt="http://schemas.openxmlformats.org/officeDocument/2006/docPropsVTypes"/>
</file>