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"Studi Kasus Proyek Infrastruktur di Indonesia: Dua Pintu Masuk Proyek KPBU"</w:t>
      </w:r>
      <w:r>
        <w:br/>
      </w:r>
      <w:r>
        <w:rPr>
          <w:rStyle w:val="FunctionTok"/>
        </w:rPr>
        <w:t xml:space="preserve">meta_title</w:t>
      </w:r>
      <w:r>
        <w:rPr>
          <w:rStyle w:val="KeywordTok"/>
        </w:rPr>
        <w:t xml:space="preserve">:</w:t>
      </w:r>
      <w:r>
        <w:rPr>
          <w:rStyle w:val="AttributeTok"/>
        </w:rPr>
        <w:t xml:space="preserve"> </w:t>
      </w:r>
      <w:r>
        <w:rPr>
          <w:rStyle w:val="StringTok"/>
        </w:rPr>
        <w:t xml:space="preserve">"Studi Kasus Proyek Infrastruktur: Prakarsa vs Lelang"</w:t>
      </w:r>
      <w:r>
        <w:br/>
      </w:r>
      <w:r>
        <w:rPr>
          <w:rStyle w:val="FunctionTok"/>
        </w:rPr>
        <w:t xml:space="preserve">meta_description</w:t>
      </w:r>
      <w:r>
        <w:rPr>
          <w:rStyle w:val="KeywordTok"/>
        </w:rPr>
        <w:t xml:space="preserve">:</w:t>
      </w:r>
      <w:r>
        <w:rPr>
          <w:rStyle w:val="AttributeTok"/>
        </w:rPr>
        <w:t xml:space="preserve"> </w:t>
      </w:r>
      <w:r>
        <w:rPr>
          <w:rStyle w:val="StringTok"/>
        </w:rPr>
        <w:t xml:space="preserve">"Studi kasus proyek infrastruktur di Indonesia: bandingkan dua jalur KPBU, prakarsa badan usaha vs lelang pemerintah, lewat kasus SPAM Karian-Serpong."</w:t>
      </w:r>
      <w:r>
        <w:br/>
      </w:r>
      <w:r>
        <w:rPr>
          <w:rStyle w:val="FunctionTok"/>
        </w:rPr>
        <w:t xml:space="preserve">slug</w:t>
      </w:r>
      <w:r>
        <w:rPr>
          <w:rStyle w:val="KeywordTok"/>
        </w:rPr>
        <w:t xml:space="preserve">:</w:t>
      </w:r>
      <w:r>
        <w:rPr>
          <w:rStyle w:val="AttributeTok"/>
        </w:rPr>
        <w:t xml:space="preserve"> </w:t>
      </w:r>
      <w:r>
        <w:rPr>
          <w:rStyle w:val="StringTok"/>
        </w:rPr>
        <w:t xml:space="preserve">"studi-kasus-proyek-infrastruktur-prakarsa-vs-lelang-kpbu"</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"Studi kasus proyek infrastruktur di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"KPBU atas prakarsa badan usaha"</w:t>
      </w:r>
      <w:r>
        <w:rPr>
          <w:rStyle w:val="KeywordTok"/>
        </w:rPr>
        <w:t xml:space="preserve">,</w:t>
      </w:r>
      <w:r>
        <w:rPr>
          <w:rStyle w:val="AttributeTok"/>
        </w:rPr>
        <w:t xml:space="preserve"> </w:t>
      </w:r>
      <w:r>
        <w:rPr>
          <w:rStyle w:val="StringTok"/>
        </w:rPr>
        <w:t xml:space="preserve">"proyek unsolicited dan solicited"</w:t>
      </w:r>
      <w:r>
        <w:rPr>
          <w:rStyle w:val="KeywordTok"/>
        </w:rPr>
        <w:t xml:space="preserve">,</w:t>
      </w:r>
      <w:r>
        <w:rPr>
          <w:rStyle w:val="AttributeTok"/>
        </w:rPr>
        <w:t xml:space="preserve"> </w:t>
      </w:r>
      <w:r>
        <w:rPr>
          <w:rStyle w:val="StringTok"/>
        </w:rPr>
        <w:t xml:space="preserve">"hak pemrakarsa proyek KPBU"</w:t>
      </w:r>
      <w:r>
        <w:rPr>
          <w:rStyle w:val="KeywordTok"/>
        </w:rPr>
        <w:t xml:space="preserve">,</w:t>
      </w:r>
      <w:r>
        <w:rPr>
          <w:rStyle w:val="AttributeTok"/>
        </w:rPr>
        <w:t xml:space="preserve"> </w:t>
      </w:r>
      <w:r>
        <w:rPr>
          <w:rStyle w:val="StringTok"/>
        </w:rPr>
        <w:t xml:space="preserve">"right to match"</w:t>
      </w:r>
      <w:r>
        <w:rPr>
          <w:rStyle w:val="KeywordTok"/>
        </w:rPr>
        <w:t xml:space="preserve">,</w:t>
      </w:r>
      <w:r>
        <w:rPr>
          <w:rStyle w:val="AttributeTok"/>
        </w:rPr>
        <w:t xml:space="preserve"> </w:t>
      </w:r>
      <w:r>
        <w:rPr>
          <w:rStyle w:val="StringTok"/>
        </w:rPr>
        <w:t xml:space="preserve">"tambahan nilai 10 persen evaluasi penawaran"</w:t>
      </w:r>
      <w:r>
        <w:rPr>
          <w:rStyle w:val="KeywordTok"/>
        </w:rPr>
        <w:t xml:space="preserve">,</w:t>
      </w:r>
      <w:r>
        <w:rPr>
          <w:rStyle w:val="AttributeTok"/>
        </w:rPr>
        <w:t xml:space="preserve"> </w:t>
      </w:r>
      <w:r>
        <w:rPr>
          <w:rStyle w:val="StringTok"/>
        </w:rPr>
        <w:t xml:space="preserve">"izin prakarsa KPBU"</w:t>
      </w:r>
      <w:r>
        <w:rPr>
          <w:rStyle w:val="KeywordTok"/>
        </w:rPr>
        <w:t xml:space="preserve">,</w:t>
      </w:r>
      <w:r>
        <w:rPr>
          <w:rStyle w:val="AttributeTok"/>
        </w:rPr>
        <w:t xml:space="preserve"> </w:t>
      </w:r>
      <w:r>
        <w:rPr>
          <w:rStyle w:val="StringTok"/>
        </w:rPr>
        <w:t xml:space="preserve">"pengadaan Badan Usaha Pelaksana"</w:t>
      </w:r>
      <w:r>
        <w:rPr>
          <w:rStyle w:val="KeywordTok"/>
        </w:rPr>
        <w:t xml:space="preserve">,</w:t>
      </w:r>
      <w:r>
        <w:rPr>
          <w:rStyle w:val="AttributeTok"/>
        </w:rPr>
        <w:t xml:space="preserve"> </w:t>
      </w:r>
      <w:r>
        <w:rPr>
          <w:rStyle w:val="StringTok"/>
        </w:rPr>
        <w:t xml:space="preserve">"Perpres 38/2015"</w:t>
      </w:r>
      <w:r>
        <w:rPr>
          <w:rStyle w:val="KeywordTok"/>
        </w:rPr>
        <w:t xml:space="preserve">,</w:t>
      </w:r>
      <w:r>
        <w:rPr>
          <w:rStyle w:val="AttributeTok"/>
        </w:rPr>
        <w:t xml:space="preserve"> </w:t>
      </w:r>
      <w:r>
        <w:rPr>
          <w:rStyle w:val="StringTok"/>
        </w:rPr>
        <w:t xml:space="preserve">"studi kasus KPBU SPAM"</w:t>
      </w:r>
      <w:r>
        <w:rPr>
          <w:rStyle w:val="KeywordTok"/>
        </w:rPr>
        <w:t xml:space="preserve">,</w:t>
      </w:r>
      <w:r>
        <w:rPr>
          <w:rStyle w:val="AttributeTok"/>
        </w:rPr>
        <w:t xml:space="preserve"> </w:t>
      </w:r>
      <w:r>
        <w:rPr>
          <w:rStyle w:val="StringTok"/>
        </w:rPr>
        <w:t xml:space="preserve">"Badan Usaha Pelaksana (BUP)"</w:t>
      </w:r>
      <w:r>
        <w:rPr>
          <w:rStyle w:val="KeywordTok"/>
        </w:rPr>
        <w:t xml:space="preserve">,</w:t>
      </w:r>
      <w:r>
        <w:rPr>
          <w:rStyle w:val="AttributeTok"/>
        </w:rPr>
        <w:t xml:space="preserve"> </w:t>
      </w:r>
      <w:r>
        <w:rPr>
          <w:rStyle w:val="StringTok"/>
        </w:rPr>
        <w:t xml:space="preserve">"Proyek Strategis Nasional"</w:t>
      </w:r>
      <w:r>
        <w:rPr>
          <w:rStyle w:val="KeywordTok"/>
        </w:rPr>
        <w:t xml:space="preserve">,</w:t>
      </w:r>
      <w:r>
        <w:rPr>
          <w:rStyle w:val="AttributeTok"/>
        </w:rPr>
        <w:t xml:space="preserve"> </w:t>
      </w:r>
      <w:r>
        <w:rPr>
          <w:rStyle w:val="StringTok"/>
        </w:rPr>
        <w:t xml:space="preserve">"PJPK"</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"https://kpbu.kemenkeu.go.id/faq"</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KPBU atas Prakarsa Badan Usaha, tiga kriteria gagasan yang dapat diprakarsai, definisi PJPK, serta beda Badan Usaha dan Badan Usaha Pelaksana"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"https://pembiayaan.pu.go.id/news/detail/274/SPAM-Karian-Serpong-Wilayah-Kota-Tangerang-Zona-2-dan-Zona-3-Dilanjutkan"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"Status Proyek Strategis Nasional dan jalur prakarsa Badan Usaha SPAM Regional Karian-Serpong, serta kelanjutan Zona 2 dan Zona 3"</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"https://peraturan.bpk.go.id/Home/Details/41764/perpres-no-38-tahun-2015"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"Status berlaku Perpres 38/2015 per 2026 sebagai dasar hukum KPBU (dikutip sebagai nama basis data JDIH, tanpa tautan keluar tambahan)"</w:t>
      </w:r>
      <w:r>
        <w:br/>
      </w:r>
      <w:r>
        <w:rPr>
          <w:rStyle w:val="FunctionTok"/>
        </w:rPr>
        <w:t xml:space="preserve">brief_id</w:t>
      </w:r>
      <w:r>
        <w:rPr>
          <w:rStyle w:val="KeywordTok"/>
        </w:rPr>
        <w:t xml:space="preserve">:</w:t>
      </w:r>
      <w:r>
        <w:rPr>
          <w:rStyle w:val="AttributeTok"/>
        </w:rPr>
        <w:t xml:space="preserve"> </w:t>
      </w:r>
      <w:r>
        <w:rPr>
          <w:rStyle w:val="StringTok"/>
        </w:rPr>
        <w:t xml:space="preserve">"studi-kasus-proyek-infrastruktur-di-indonesia-02"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"2026-09-22"</w:t>
      </w:r>
      <w:r>
        <w:br/>
      </w:r>
      <w:r>
        <w:rPr>
          <w:rStyle w:val="FunctionTok"/>
        </w:rPr>
        <w:t xml:space="preserve">word_count</w:t>
      </w:r>
      <w:r>
        <w:rPr>
          <w:rStyle w:val="KeywordTok"/>
        </w:rPr>
        <w:t xml:space="preserve">:</w:t>
      </w:r>
      <w:r>
        <w:rPr>
          <w:rStyle w:val="AttributeTok"/>
        </w:rPr>
        <w:t xml:space="preserve"> </w:t>
      </w:r>
      <w:r>
        <w:rPr>
          <w:rStyle w:val="DecValTok"/>
        </w:rPr>
        <w:t xml:space="preserve">1534</w:t>
      </w:r>
    </w:p>
    <w:p>
      <w:r>
        <w:pict>
          <v:rect style="width:0;height:1.5pt" o:hralign="center" o:hrstd="t" o:hr="t"/>
        </w:pict>
      </w:r>
    </w:p>
    <w:bookmarkEnd w:id="16"/>
    <w:bookmarkStart w:id="34" w:name="X8095e4a2b946f56f5a116c549dd3fd016ec89f3"/>
    <w:p>
      <w:pPr>
        <w:pStyle w:val="Heading1"/>
      </w:pPr>
      <w:r>
        <w:t xml:space="preserve">Studi Kasus Proyek Infrastruktur di Indonesia: Dua Pintu Masuk Proyek KPBU</w:t>
      </w:r>
    </w:p>
    <w:p>
      <w:pPr>
        <w:pStyle w:val="FirstParagraph"/>
      </w:pPr>
      <w:r>
        <w:t xml:space="preserve">Sebuah proposal setebal beberapa ratus halaman masuk ke meja Anda: lengkap dengan kajian kelayakan, rancangan struktur, bahkan proyeksi tarif. Pengirimnya badan usaha swasta yang belum pernah Anda ajak bicara. Pertanyaan pertama bukan soal mutu dokumen itu, melainkan konsekuensi prosedural bila pengajuan diterima. Pembahasan</w:t>
      </w:r>
      <w:r>
        <w:t xml:space="preserve"> </w:t>
      </w:r>
      <w:hyperlink r:id="rId17">
        <w:r>
          <w:rPr>
            <w:rStyle w:val="Hyperlink"/>
          </w:rPr>
          <w:t xml:space="preserve">studi kasus proyek infrastruktur di Indonesia</w:t>
        </w:r>
      </w:hyperlink>
      <w:r>
        <w:t xml:space="preserve"> </w:t>
      </w:r>
      <w:r>
        <w:t xml:space="preserve">umumnya berhenti pada rekayasa teknis dan nilai investasi, lalu melewatkan variabel yang menentukan seluruh alur pengadaan: siapa yang memulai proyek. Artikel ini membandingkan dua pintu masuk KPBU, hak yang melekat pada pemrakarsa, dan mengujinya pada satu proyek air minum regional.</w:t>
      </w:r>
    </w:p>
    <w:p>
      <w:pPr>
        <w:pStyle w:val="BlockText"/>
      </w:pPr>
      <w:r>
        <w:rPr>
          <w:b/>
          <w:bCs/>
        </w:rPr>
        <w:t xml:space="preserve">Secara singkat:</w:t>
      </w:r>
      <w:r>
        <w:t xml:space="preserve"> </w:t>
      </w:r>
      <w:r>
        <w:t xml:space="preserve">KPBU atas Prakarsa Badan Usaha adalah proyek Kerja Sama Pemerintah dengan Badan Usaha yang inisiatifnya diajukan oleh Badan Usaha kepada Menteri, Kepala Lembaga, atau Kepala Daerah, bukan sebaliknya. Proyek ini tetap wajib melalui lelang kompetitif; sebagai kompensasi atas biaya kajian awal yang ditanggungnya, Perpres 38/2015 memberi pemrakarsa salah satu dari tiga bentuk kompensasi pada tahap evaluasi penawaran.</w:t>
      </w:r>
    </w:p>
    <w:bookmarkStart w:id="19" w:name="apa-itu-kpbu-atas-prakarsa-badan-usaha"/>
    <w:p>
      <w:pPr>
        <w:pStyle w:val="Heading2"/>
      </w:pPr>
      <w:r>
        <w:t xml:space="preserve">Apa itu KPBU atas prakarsa badan usaha?</w:t>
      </w:r>
    </w:p>
    <w:p>
      <w:pPr>
        <w:pStyle w:val="FirstParagraph"/>
      </w:pPr>
      <w:r>
        <w:t xml:space="preserve">KPBU (</w:t>
      </w:r>
      <w:r>
        <w:rPr>
          <w:i/>
          <w:iCs/>
        </w:rPr>
        <w:t xml:space="preserve">Kerja Sama Pemerintah dengan Badan Usaha</w:t>
      </w:r>
      <w:r>
        <w:t xml:space="preserve">) atas prakarsa badan usaha adalah proyek yang prakarsanya diajukan oleh Badan Usaha kepada Menteri, Kepala Lembaga, atau Kepala Daerah, sesuai</w:t>
      </w:r>
      <w:r>
        <w:t xml:space="preserve"> </w:t>
      </w:r>
      <w:hyperlink r:id="rId18">
        <w:r>
          <w:rPr>
            <w:rStyle w:val="Hyperlink"/>
          </w:rPr>
          <w:t xml:space="preserve">FAQ resmi Kementerian Keuangan</w:t>
        </w:r>
      </w:hyperlink>
      <w:r>
        <w:t xml:space="preserve"> </w:t>
      </w:r>
      <w:r>
        <w:t xml:space="preserve">(diakses 2026). Lawannya adalah proyek yang direncanakan pemerintah sejak awal lalu dilelang.</w:t>
      </w:r>
    </w:p>
    <w:p>
      <w:pPr>
        <w:pStyle w:val="BodyText"/>
      </w:pPr>
      <w:r>
        <w:t xml:space="preserve">Dalam dokumen proyek, dua istilah Inggris beredar sebagai padanan praktik:</w:t>
      </w:r>
      <w:r>
        <w:t xml:space="preserve"> </w:t>
      </w:r>
      <w:r>
        <w:rPr>
          <w:i/>
          <w:iCs/>
        </w:rPr>
        <w:t xml:space="preserve">solicited</w:t>
      </w:r>
      <w:r>
        <w:t xml:space="preserve"> </w:t>
      </w:r>
      <w:r>
        <w:t xml:space="preserve">untuk prakarsa pemerintah dan</w:t>
      </w:r>
      <w:r>
        <w:t xml:space="preserve"> </w:t>
      </w:r>
      <w:r>
        <w:rPr>
          <w:i/>
          <w:iCs/>
        </w:rPr>
        <w:t xml:space="preserve">unsolicited</w:t>
      </w:r>
      <w:r>
        <w:t xml:space="preserve"> </w:t>
      </w:r>
      <w:r>
        <w:t xml:space="preserve">untuk prakarsa badan usaha. Penerima pengajuannya adalah PJPK (Penanggung Jawab Proyek Kerjasama), termasuk BUMN/BUMD yang memperoleh pelimpahan kewenangan.</w:t>
      </w:r>
    </w:p>
    <w:p>
      <w:pPr>
        <w:pStyle w:val="BodyText"/>
      </w:pPr>
      <w:r>
        <w:t xml:space="preserve">Tidak setiap gagasan boleh diprakarsai. Portal KPBU Kementerian Keuangan menyebut tiga syarat:</w:t>
      </w:r>
    </w:p>
    <w:p>
      <w:pPr>
        <w:pStyle w:val="Compact"/>
        <w:numPr>
          <w:ilvl w:val="0"/>
          <w:numId w:val="1001"/>
        </w:numPr>
      </w:pPr>
      <w:r>
        <w:rPr>
          <w:b/>
          <w:bCs/>
        </w:rPr>
        <w:t xml:space="preserve">Terintegrasi secara teknis dengan rencana induk</w:t>
      </w:r>
      <w:r>
        <w:t xml:space="preserve"> </w:t>
      </w:r>
      <w:r>
        <w:t xml:space="preserve">sektor bersangkutan.</w:t>
      </w:r>
    </w:p>
    <w:p>
      <w:pPr>
        <w:pStyle w:val="Compact"/>
        <w:numPr>
          <w:ilvl w:val="0"/>
          <w:numId w:val="1001"/>
        </w:numPr>
      </w:pPr>
      <w:r>
        <w:rPr>
          <w:b/>
          <w:bCs/>
        </w:rPr>
        <w:t xml:space="preserve">Layak secara ekonomi dan finansial.</w:t>
      </w:r>
    </w:p>
    <w:p>
      <w:pPr>
        <w:pStyle w:val="Compact"/>
        <w:numPr>
          <w:ilvl w:val="0"/>
          <w:numId w:val="1001"/>
        </w:numPr>
      </w:pPr>
      <w:r>
        <w:rPr>
          <w:b/>
          <w:bCs/>
        </w:rPr>
        <w:t xml:space="preserve">Kemampuan keuangan badan usaha pemrakarsa memadai.</w:t>
      </w:r>
    </w:p>
    <w:p>
      <w:pPr>
        <w:pStyle w:val="FirstParagraph"/>
      </w:pPr>
      <w:r>
        <w:t xml:space="preserve">Syarat ketiga sering keliru diingat sebagai</w:t>
      </w:r>
      <w:r>
        <w:t xml:space="preserve"> </w:t>
      </w:r>
      <w:r>
        <w:t xml:space="preserve">“tidak memerlukan dukungan pemerintah”</w:t>
      </w:r>
      <w:r>
        <w:t xml:space="preserve">. Rumusan resminya menyangkut kapasitas keuangan pihak yang mengajukan, bukan ada-tidaknya dukungan fiskal proyek.</w:t>
      </w:r>
    </w:p>
    <w:bookmarkEnd w:id="19"/>
    <w:bookmarkStart w:id="20" w:name="X9c72bd001d951ad9d57678b2ebe9b3ecf6ed906"/>
    <w:p>
      <w:pPr>
        <w:pStyle w:val="Heading2"/>
      </w:pPr>
      <w:r>
        <w:t xml:space="preserve">Dua pintu masuk berdampingan: siapa menyiapkan, siapa menanggung, apa yang didapat</w:t>
      </w:r>
    </w:p>
    <w:p>
      <w:pPr>
        <w:pStyle w:val="FirstParagraph"/>
      </w:pPr>
      <w:r>
        <w:t xml:space="preserve">Perbedaan kedua jalur terletak pada tiga hal: siapa merumuskan gagasan, siapa membiayai kajian awal, dan keunggulan apa yang melekat saat lelang. Keduanya berujung pada pengadaan Badan Usaha Pelaksana melalui lelang kompetitif. Jalur masuk memengaruhi cara proyek disiapkan, bukan menghapus kewajiban berkompetisi.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Prakarsa pemerintah (</w:t>
            </w:r>
            <w:r>
              <w:rPr>
                <w:i/>
                <w:iCs/>
              </w:rPr>
              <w:t xml:space="preserve">solicited</w:t>
            </w:r>
            <w:r>
              <w:t xml:space="preserve">)</w:t>
            </w:r>
          </w:p>
        </w:tc>
        <w:tc>
          <w:tcPr/>
          <w:p>
            <w:pPr>
              <w:pStyle w:val="Compact"/>
            </w:pPr>
            <w:r>
              <w:t xml:space="preserve">Prakarsa badan usaha (</w:t>
            </w:r>
            <w:r>
              <w:rPr>
                <w:i/>
                <w:iCs/>
              </w:rPr>
              <w:t xml:space="preserve">unsolicited</w:t>
            </w:r>
            <w:r>
              <w:t xml:space="preserve">)</w:t>
            </w:r>
          </w:p>
        </w:tc>
      </w:tr>
      <w:tr>
        <w:tc>
          <w:tcPr/>
          <w:p>
            <w:pPr>
              <w:pStyle w:val="Compact"/>
            </w:pPr>
            <w:r>
              <w:t xml:space="preserve">Perumus gagasan</w:t>
            </w:r>
          </w:p>
        </w:tc>
        <w:tc>
          <w:tcPr/>
          <w:p>
            <w:pPr>
              <w:pStyle w:val="Compact"/>
            </w:pPr>
            <w:r>
              <w:t xml:space="preserve">PJPK; proyek masuk daftar rencana KPBU</w:t>
            </w:r>
          </w:p>
        </w:tc>
        <w:tc>
          <w:tcPr/>
          <w:p>
            <w:pPr>
              <w:pStyle w:val="Compact"/>
            </w:pPr>
            <w:r>
              <w:t xml:space="preserve">Badan Usaha, melalui tahap izin prinsip lalu izin prakarsa</w:t>
            </w:r>
          </w:p>
        </w:tc>
      </w:tr>
      <w:tr>
        <w:tc>
          <w:tcPr/>
          <w:p>
            <w:pPr>
              <w:pStyle w:val="Compact"/>
            </w:pPr>
            <w:r>
              <w:t xml:space="preserve">Penanggung biaya kajian awal</w:t>
            </w:r>
          </w:p>
        </w:tc>
        <w:tc>
          <w:tcPr/>
          <w:p>
            <w:pPr>
              <w:pStyle w:val="Compact"/>
            </w:pPr>
            <w:r>
              <w:t xml:space="preserve">Pemerintah</w:t>
            </w:r>
          </w:p>
        </w:tc>
        <w:tc>
          <w:tcPr/>
          <w:p>
            <w:pPr>
              <w:pStyle w:val="Compact"/>
            </w:pPr>
            <w:r>
              <w:t xml:space="preserve">Badan Usaha pemrakarsa sendiri</w:t>
            </w:r>
          </w:p>
        </w:tc>
      </w:tr>
      <w:tr>
        <w:tc>
          <w:tcPr/>
          <w:p>
            <w:pPr>
              <w:pStyle w:val="Compact"/>
            </w:pPr>
            <w:r>
              <w:t xml:space="preserve">Kriteria yang diuji</w:t>
            </w:r>
          </w:p>
        </w:tc>
        <w:tc>
          <w:tcPr/>
          <w:p>
            <w:pPr>
              <w:pStyle w:val="Compact"/>
            </w:pPr>
            <w:r>
              <w:t xml:space="preserve">Kelayakan proyek dan kesiapan PJPK</w:t>
            </w:r>
          </w:p>
        </w:tc>
        <w:tc>
          <w:tcPr/>
          <w:p>
            <w:pPr>
              <w:pStyle w:val="Compact"/>
            </w:pPr>
            <w:r>
              <w:t xml:space="preserve">Tiga syarat prakarsa, termasuk kemampuan keuangan pemrakarsa</w:t>
            </w:r>
          </w:p>
        </w:tc>
      </w:tr>
      <w:tr>
        <w:tc>
          <w:tcPr/>
          <w:p>
            <w:pPr>
              <w:pStyle w:val="Compact"/>
            </w:pPr>
            <w:r>
              <w:t xml:space="preserve">Wajib lelang kompetitif</w:t>
            </w:r>
          </w:p>
        </w:tc>
        <w:tc>
          <w:tcPr/>
          <w:p>
            <w:pPr>
              <w:pStyle w:val="Compact"/>
            </w:pPr>
            <w:r>
              <w:t xml:space="preserve">Ya</w:t>
            </w:r>
          </w:p>
        </w:tc>
        <w:tc>
          <w:tcPr/>
          <w:p>
            <w:pPr>
              <w:pStyle w:val="Compact"/>
            </w:pPr>
            <w:r>
              <w:t xml:space="preserve">Ya, tanpa berubah menjadi penunjukan langsung</w:t>
            </w:r>
          </w:p>
        </w:tc>
      </w:tr>
      <w:tr>
        <w:tc>
          <w:tcPr/>
          <w:p>
            <w:pPr>
              <w:pStyle w:val="Compact"/>
            </w:pPr>
            <w:r>
              <w:t xml:space="preserve">Keunggulan pada pemrakarsa</w:t>
            </w:r>
          </w:p>
        </w:tc>
        <w:tc>
          <w:tcPr/>
          <w:p>
            <w:pPr>
              <w:pStyle w:val="Compact"/>
            </w:pPr>
            <w:r>
              <w:t xml:space="preserve">Tidak ada; semua peserta lelang setara</w:t>
            </w:r>
          </w:p>
        </w:tc>
        <w:tc>
          <w:tcPr/>
          <w:p>
            <w:pPr>
              <w:pStyle w:val="Compact"/>
            </w:pPr>
            <w:r>
              <w:t xml:space="preserve">Salah satu dari tiga kompensasi Pasal 14 Perpres 38/2015</w:t>
            </w:r>
          </w:p>
        </w:tc>
      </w:tr>
      <w:tr>
        <w:tc>
          <w:tcPr/>
          <w:p>
            <w:pPr>
              <w:pStyle w:val="Compact"/>
            </w:pPr>
            <w:r>
              <w:t xml:space="preserve">Risiko utama bagi PJPK</w:t>
            </w:r>
          </w:p>
        </w:tc>
        <w:tc>
          <w:tcPr/>
          <w:p>
            <w:pPr>
              <w:pStyle w:val="Compact"/>
            </w:pPr>
            <w:r>
              <w:t xml:space="preserve">Biaya penyiapan ditanggung sendiri tanpa jaminan ada peminat</w:t>
            </w:r>
          </w:p>
        </w:tc>
        <w:tc>
          <w:tcPr/>
          <w:p>
            <w:pPr>
              <w:pStyle w:val="Compact"/>
            </w:pPr>
            <w:r>
              <w:t xml:space="preserve">Menilai kajian calon peserta lelang; lelang berpotensi sepi peminat</w:t>
            </w:r>
          </w:p>
        </w:tc>
      </w:tr>
    </w:tbl>
    <w:p>
      <w:pPr>
        <w:pStyle w:val="BodyText"/>
      </w:pPr>
      <w:r>
        <w:t xml:space="preserve">Baris yang paling sering terlewat adalah tahap izin prinsip dan izin prakarsa. Statusnya dapat dilacak melalui SIPRABU (Sistem Informasi Proyek KPBU Atas Prakarsa Badan Usaha), portal resmi Kementerian PU (diakses 2026).</w:t>
      </w:r>
    </w:p>
    <w:bookmarkEnd w:id="20"/>
    <w:bookmarkStart w:id="22" w:name="X4b33ae6bef22269c3a8123afb71e421e1d58acb"/>
    <w:p>
      <w:pPr>
        <w:pStyle w:val="Heading2"/>
      </w:pPr>
      <w:r>
        <w:t xml:space="preserve">Apa hak yang diperoleh badan usaha pemrakarsa?</w:t>
      </w:r>
    </w:p>
    <w:p>
      <w:pPr>
        <w:pStyle w:val="FirstParagraph"/>
      </w:pPr>
      <w:r>
        <w:t xml:space="preserve">Naskah Pasal 14 Perpres 38/2015 sebagaimana dihimpun basis data hukum memuat tiga bentuk kompensasi yang bersifat alternatif: dipilih salah satu, tidak diberikan sekaligus. Ketiganya adalah tambahan nilai 10 persen pada evaluasi penawaran, hak menyamai penawaran terbaik peserta lain (</w:t>
      </w:r>
      <w:r>
        <w:rPr>
          <w:i/>
          <w:iCs/>
        </w:rPr>
        <w:t xml:space="preserve">right to match</w:t>
      </w:r>
      <w:r>
        <w:t xml:space="preserve">), dan pembelian prakarsa berikut hak kekayaan intelektualnya.</w:t>
      </w:r>
    </w:p>
    <w:p>
      <w:pPr>
        <w:pStyle w:val="BodyText"/>
      </w:pPr>
      <w:r>
        <w:t xml:space="preserve">Dua bentuk pertama konsisten di seluruh rujukan yang diperiksa. Bentuk ketiga disebut secara serupa oleh naskah Perpres yang dihimpun JDIH Kementerian Keuangan dan basis data hukum lain, meski tanpa kutipan ayat per ayat pada rujukan yang dapat diakses. Karena itu, sebelum dipakai dalam dokumen resmi, rumusannya sebaiknya ditelusuri langsung ke naskah Perpres 38/2015 yang berstatus berlaku per 2026 menurut basis data JDIH peraturan.bpk.go.id.</w:t>
      </w:r>
    </w:p>
    <w:p>
      <w:pPr>
        <w:pStyle w:val="BodyText"/>
      </w:pPr>
      <w:r>
        <w:t xml:space="preserve">Tambahan nilai 10 persen bekerja pada tahap evaluasi penawaran: penawaran pemrakarsa diperlakukan seolah unggul sepersepuluh dari nilai yang dinilai. Mekanisme perhitungan persisnya mengikuti dokumen pengadaan tiap proyek dan tidak tersedia sebagai rumus publik yang seragam.</w:t>
      </w:r>
    </w:p>
    <w:p>
      <w:pPr>
        <w:pStyle w:val="BodyText"/>
      </w:pPr>
      <w:r>
        <w:t xml:space="preserve">Kompensasi juga bukan pemberian tanpa imbal balik. Begitu kompensasi diterima, seluruh dokumen studi kelayakan berikut hak kekayaan intelektualnya beralih menjadi milik Menteri, Kepala Lembaga, atau Kepala Daerah (Pasal 14 ayat (7) Perpres 38/2015).</w:t>
      </w:r>
    </w:p>
    <w:p>
      <w:pPr>
        <w:pStyle w:val="BodyText"/>
      </w:pPr>
      <w:r>
        <w:t xml:space="preserve">Miskonsepsi yang paling sering muncul: prakarsa dianggap sama dengan penunjukan langsung. Perpres 38/2015 tidak membuka jalan itu.</w:t>
      </w:r>
    </w:p>
    <w:p>
      <w:pPr>
        <w:pStyle w:val="BodyText"/>
      </w:pPr>
      <w:r>
        <w:t xml:space="preserve">Definisi resmi Badan Usaha Pelaksana menyebut perseroan terbatas yang didirikan oleh badan usaha</w:t>
      </w:r>
      <w:r>
        <w:t xml:space="preserve"> </w:t>
      </w:r>
      <w:r>
        <w:rPr>
          <w:b/>
          <w:bCs/>
        </w:rPr>
        <w:t xml:space="preserve">pemenang lelang</w:t>
      </w:r>
      <w:r>
        <w:t xml:space="preserve">, dan ketiga kompensasi di atas hanya bermakna jika evaluasi penawaran berjalan. Pengadaan Badan Usaha Pelaksana karena itu menjadi materi inti penyiapan dan transaksi proyek, termasuk pada jalur pembelajaran</w:t>
      </w:r>
      <w:r>
        <w:t xml:space="preserve"> </w:t>
      </w:r>
      <w:hyperlink r:id="rId21">
        <w:r>
          <w:rPr>
            <w:rStyle w:val="Hyperlink"/>
          </w:rPr>
          <w:t xml:space="preserve">sertifikasi KPBU</w:t>
        </w:r>
      </w:hyperlink>
      <w:r>
        <w:t xml:space="preserve">.</w:t>
      </w:r>
    </w:p>
    <w:bookmarkEnd w:id="22"/>
    <w:bookmarkStart w:id="24" w:name="X9262d8c1b9b38f5ed734162705dfa84eaaaf06f"/>
    <w:p>
      <w:pPr>
        <w:pStyle w:val="Heading2"/>
      </w:pPr>
      <w:r>
        <w:t xml:space="preserve">Menguji jalur prakarsa pada SPAM Regional Karian–Serpong</w:t>
      </w:r>
    </w:p>
    <w:p>
      <w:pPr>
        <w:pStyle w:val="FirstParagraph"/>
      </w:pPr>
      <w:r>
        <w:t xml:space="preserve">SPAM (Sistem Penyediaan Air Minum) Regional Karian–Serpong menunjukkan jalur prakarsa yang berjalan penuh sampai perjanjian kerja sama.</w:t>
      </w:r>
      <w:r>
        <w:t xml:space="preserve"> </w:t>
      </w:r>
      <w:hyperlink r:id="rId23">
        <w:r>
          <w:rPr>
            <w:rStyle w:val="Hyperlink"/>
          </w:rPr>
          <w:t xml:space="preserve">Publikasi Kementerian PU</w:t>
        </w:r>
      </w:hyperlink>
      <w:r>
        <w:t xml:space="preserve"> </w:t>
      </w:r>
      <w:r>
        <w:t xml:space="preserve">menyebutnya</w:t>
      </w:r>
      <w:r>
        <w:t xml:space="preserve"> </w:t>
      </w:r>
      <w:r>
        <w:t xml:space="preserve">“salah satu Proyek Strategis Nasional dan proyek yang diselenggarakan melalui skema KPBU atas prakarsa Badan Usaha”</w:t>
      </w:r>
      <w:r>
        <w:t xml:space="preserve">, dengan kapasitas 4.600 liter per detik (publikasi 2021).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Aspek</w:t>
            </w:r>
          </w:p>
        </w:tc>
        <w:tc>
          <w:tcPr/>
          <w:p>
            <w:pPr>
              <w:pStyle w:val="Compact"/>
            </w:pPr>
            <w:r>
              <w:t xml:space="preserve">Data dan tahun rujukan</w:t>
            </w:r>
          </w:p>
        </w:tc>
      </w:tr>
      <w:tr>
        <w:tc>
          <w:tcPr/>
          <w:p>
            <w:pPr>
              <w:pStyle w:val="Compact"/>
            </w:pPr>
            <w:r>
              <w:t xml:space="preserve">Status</w:t>
            </w:r>
          </w:p>
        </w:tc>
        <w:tc>
          <w:tcPr/>
          <w:p>
            <w:pPr>
              <w:pStyle w:val="Compact"/>
            </w:pPr>
            <w:r>
              <w:t xml:space="preserve">Proyek Strategis Nasional; KPBU atas prakarsa Badan Usaha; PJPK Kementerian PUPR, nomenklatur 2021 (publikasi 2021 dan 2023)</w:t>
            </w:r>
          </w:p>
        </w:tc>
      </w:tr>
      <w:tr>
        <w:tc>
          <w:tcPr/>
          <w:p>
            <w:pPr>
              <w:pStyle w:val="Compact"/>
            </w:pPr>
            <w:r>
              <w:t xml:space="preserve">Kapasitas</w:t>
            </w:r>
          </w:p>
        </w:tc>
        <w:tc>
          <w:tcPr/>
          <w:p>
            <w:pPr>
              <w:pStyle w:val="Compact"/>
            </w:pPr>
            <w:r>
              <w:t xml:space="preserve">4.600 liter/detik: DKI Jakarta 3.200, Kota Tangerang 750, Tangerang Selatan 650 (publikasi 2021)</w:t>
            </w:r>
          </w:p>
        </w:tc>
      </w:tr>
      <w:tr>
        <w:tc>
          <w:tcPr/>
          <w:p>
            <w:pPr>
              <w:pStyle w:val="Compact"/>
            </w:pPr>
            <w:r>
              <w:t xml:space="preserve">Cakupan</w:t>
            </w:r>
          </w:p>
        </w:tc>
        <w:tc>
          <w:tcPr/>
          <w:p>
            <w:pPr>
              <w:pStyle w:val="Compact"/>
            </w:pPr>
            <w:r>
              <w:t xml:space="preserve">Sekitar 1,8–1,84 juta penduduk di tiga wilayah (publikasi 2021 dan 2023)</w:t>
            </w:r>
          </w:p>
        </w:tc>
      </w:tr>
      <w:tr>
        <w:tc>
          <w:tcPr/>
          <w:p>
            <w:pPr>
              <w:pStyle w:val="Compact"/>
            </w:pPr>
            <w:r>
              <w:t xml:space="preserve">Nilai investasi</w:t>
            </w:r>
          </w:p>
        </w:tc>
        <w:tc>
          <w:tcPr/>
          <w:p>
            <w:pPr>
              <w:pStyle w:val="Compact"/>
            </w:pPr>
            <w:r>
              <w:t xml:space="preserve">Sekitar Rp2,4 triliun, indikatif per publikasi 2021</w:t>
            </w:r>
          </w:p>
        </w:tc>
      </w:tr>
      <w:tr>
        <w:tc>
          <w:tcPr/>
          <w:p>
            <w:pPr>
              <w:pStyle w:val="Compact"/>
            </w:pPr>
            <w:r>
              <w:t xml:space="preserve">Skema dan konsesi</w:t>
            </w:r>
          </w:p>
        </w:tc>
        <w:tc>
          <w:tcPr/>
          <w:p>
            <w:pPr>
              <w:pStyle w:val="Compact"/>
            </w:pPr>
            <w:r>
              <w:rPr>
                <w:i/>
                <w:iCs/>
              </w:rPr>
              <w:t xml:space="preserve">Build-Operate-Transfer</w:t>
            </w:r>
            <w:r>
              <w:t xml:space="preserve">; pengembalian dari</w:t>
            </w:r>
            <w:r>
              <w:t xml:space="preserve"> </w:t>
            </w:r>
            <w:r>
              <w:rPr>
                <w:i/>
                <w:iCs/>
              </w:rPr>
              <w:t xml:space="preserve">user charge</w:t>
            </w:r>
            <w:r>
              <w:t xml:space="preserve"> </w:t>
            </w:r>
            <w:r>
              <w:t xml:space="preserve">(pembayaran oleh pengguna); konsesi 33 tahun, terdiri atas 3 tahun konstruksi dan 30 tahun operasi (publikasi 2021)</w:t>
            </w:r>
          </w:p>
        </w:tc>
      </w:tr>
      <w:tr>
        <w:tc>
          <w:tcPr/>
          <w:p>
            <w:pPr>
              <w:pStyle w:val="Compact"/>
            </w:pPr>
            <w:r>
              <w:t xml:space="preserve">Tonggak kontrak</w:t>
            </w:r>
          </w:p>
        </w:tc>
        <w:tc>
          <w:tcPr/>
          <w:p>
            <w:pPr>
              <w:pStyle w:val="Compact"/>
            </w:pPr>
            <w:r>
              <w:t xml:space="preserve">Perjanjian KPBU dan penjaminan 29 April 2021; perjanjian regres 30 April 2021</w:t>
            </w:r>
          </w:p>
        </w:tc>
      </w:tr>
      <w:tr>
        <w:tc>
          <w:tcPr/>
          <w:p>
            <w:pPr>
              <w:pStyle w:val="Compact"/>
            </w:pPr>
            <w:r>
              <w:t xml:space="preserve">Kelanjutan</w:t>
            </w:r>
          </w:p>
        </w:tc>
        <w:tc>
          <w:tcPr/>
          <w:p>
            <w:pPr>
              <w:pStyle w:val="Compact"/>
            </w:pPr>
            <w:r>
              <w:t xml:space="preserve">Zona 2 dan 3 Kota Tangerang: Perumda Tirta Benteng dan PT Air Kota Tangerang, 21 Desember 2023</w:t>
            </w:r>
          </w:p>
        </w:tc>
      </w:tr>
    </w:tbl>
    <w:p>
      <w:pPr>
        <w:pStyle w:val="BodyText"/>
      </w:pPr>
      <w:r>
        <w:t xml:space="preserve">Dua hal layak dicermati. Pertama, jalur prakarsa dapat menghasilkan proyek berpenjaminan pemerintah: PT PII (PT Penjaminan Infrastruktur Indonesia), BUMN penjaminan infrastruktur di bawah Kementerian Keuangan, menanggung risiko gagal bayar PJPK dan risiko terminasi pada proyek ini (publikasi 2021).</w:t>
      </w:r>
    </w:p>
    <w:p>
      <w:pPr>
        <w:pStyle w:val="BodyText"/>
      </w:pPr>
      <w:r>
        <w:t xml:space="preserve">Kedua, proyek yang terdokumentasi rapi pun tetap menampilkan angka bercabang antar-portal pemerintah. Porsi DKI Jakarta tercatat 3.200 liter/detik pada dua sumber resmi dan 3.600 liter/detik pada sumber lain; jumlah sambungan rumah disebut sekitar 368.000 pada satu publikasi dan sekitar 539.000 pada publikasi lain di periode 2021 yang sama. Angka penduduk paling konsisten di antara ketiganya.</w:t>
      </w:r>
    </w:p>
    <w:bookmarkEnd w:id="24"/>
    <w:bookmarkStart w:id="26" w:name="X7f4b374c05785c378ac4ca25e52a345dc5bb30c"/>
    <w:p>
      <w:pPr>
        <w:pStyle w:val="Heading2"/>
      </w:pPr>
      <w:r>
        <w:t xml:space="preserve">Kapan proposal prakarsa sebaiknya BELUM diterima</w:t>
      </w:r>
    </w:p>
    <w:p>
      <w:pPr>
        <w:pStyle w:val="FirstParagraph"/>
      </w:pPr>
      <w:r>
        <w:t xml:space="preserve">Proposal prakarsa sebaiknya ditunda ketika gagasannya belum nyambung dengan rencana induk sektor, ketika PJPK belum punya kapasitas menilai kajian yang disusun pihak lain, atau ketika keunggulan pemrakarsa berpotensi membuat lelang sepi peminat. Ini pertimbangan kehati-hatian prosedural, bukan penilaian atas niat pengaju.</w:t>
      </w:r>
    </w:p>
    <w:p>
      <w:pPr>
        <w:pStyle w:val="Compact"/>
        <w:numPr>
          <w:ilvl w:val="0"/>
          <w:numId w:val="1002"/>
        </w:numPr>
      </w:pPr>
      <w:r>
        <w:rPr>
          <w:b/>
          <w:bCs/>
        </w:rPr>
        <w:t xml:space="preserve">Gagasan di luar rencana induk.</w:t>
      </w:r>
      <w:r>
        <w:t xml:space="preserve"> </w:t>
      </w:r>
      <w:r>
        <w:t xml:space="preserve">Syarat pertama prakarsa adalah keterpaduan teknis dengan rencana induk sektor. Proposal yang menarik secara finansial namun tidak selaras akan menyulitkan PJPK di tahap berikutnya.</w:t>
      </w:r>
    </w:p>
    <w:p>
      <w:pPr>
        <w:pStyle w:val="Compact"/>
        <w:numPr>
          <w:ilvl w:val="0"/>
          <w:numId w:val="1002"/>
        </w:numPr>
      </w:pPr>
      <w:r>
        <w:rPr>
          <w:b/>
          <w:bCs/>
        </w:rPr>
        <w:t xml:space="preserve">Kapasitas menilai kajian pihak lain.</w:t>
      </w:r>
      <w:r>
        <w:t xml:space="preserve"> </w:t>
      </w:r>
      <w:r>
        <w:t xml:space="preserve">Membaca kajian kelayakan yang disusun calon peserta lelang menuntut keterampilan tersendiri; di sinilah program</w:t>
      </w:r>
      <w:r>
        <w:t xml:space="preserve"> </w:t>
      </w:r>
      <w:hyperlink r:id="rId25">
        <w:r>
          <w:rPr>
            <w:rStyle w:val="Hyperlink"/>
          </w:rPr>
          <w:t xml:space="preserve">capacity building pembiayaan kreatif</w:t>
        </w:r>
      </w:hyperlink>
      <w:r>
        <w:t xml:space="preserve"> </w:t>
      </w:r>
      <w:r>
        <w:t xml:space="preserve">bagi tim PJPK berbeda dari pelatihan pengantar.</w:t>
      </w:r>
    </w:p>
    <w:p>
      <w:pPr>
        <w:pStyle w:val="Compact"/>
        <w:numPr>
          <w:ilvl w:val="0"/>
          <w:numId w:val="1002"/>
        </w:numPr>
      </w:pPr>
      <w:r>
        <w:rPr>
          <w:b/>
          <w:bCs/>
        </w:rPr>
        <w:t xml:space="preserve">Asimetri informasi.</w:t>
      </w:r>
      <w:r>
        <w:t xml:space="preserve"> </w:t>
      </w:r>
      <w:r>
        <w:t xml:space="preserve">Penyusun kajian mengetahui asumsinya lebih dalam daripada pembacanya. PJPK perlu menguji asumsi permintaan dan biaya secara mandiri.</w:t>
      </w:r>
    </w:p>
    <w:p>
      <w:pPr>
        <w:pStyle w:val="Compact"/>
        <w:numPr>
          <w:ilvl w:val="0"/>
          <w:numId w:val="1002"/>
        </w:numPr>
      </w:pPr>
      <w:r>
        <w:rPr>
          <w:b/>
          <w:bCs/>
        </w:rPr>
        <w:t xml:space="preserve">Risiko lelang sepi peminat.</w:t>
      </w:r>
      <w:r>
        <w:t xml:space="preserve"> </w:t>
      </w:r>
      <w:r>
        <w:t xml:space="preserve">Semakin besar keunggulan pemrakarsa dinilai kandidat lain, semakin kecil dorongan mereka menyiapkan penawaran.</w:t>
      </w:r>
    </w:p>
    <w:p>
      <w:pPr>
        <w:pStyle w:val="FirstParagraph"/>
      </w:pPr>
      <w:r>
        <w:t xml:space="preserve">Status jalur pun tidak permanen. Bila pemrakarsa awal tidak mencapai</w:t>
      </w:r>
      <w:r>
        <w:t xml:space="preserve"> </w:t>
      </w:r>
      <w:r>
        <w:rPr>
          <w:i/>
          <w:iCs/>
        </w:rPr>
        <w:t xml:space="preserve">financial close</w:t>
      </w:r>
      <w:r>
        <w:t xml:space="preserve"> </w:t>
      </w:r>
      <w:r>
        <w:t xml:space="preserve">(kepastian pembiayaan), proyek dapat dikonversi menjadi prakarsa pemerintah dan dilelang ulang — pola yang tercatat pada setidaknya satu proyek jalan tol, 2022–2026.</w:t>
      </w:r>
    </w:p>
    <w:bookmarkEnd w:id="26"/>
    <w:bookmarkStart w:id="32" w:name="faq-pertanyaan-yang-sering-diajukan"/>
    <w:p>
      <w:pPr>
        <w:pStyle w:val="Heading2"/>
      </w:pPr>
      <w:r>
        <w:t xml:space="preserve">FAQ (Pertanyaan yang Sering Diajukan)</w:t>
      </w:r>
    </w:p>
    <w:bookmarkStart w:id="27" w:name="apa-itu-kpbu-atas-prakarsa-badan-usaha-1"/>
    <w:p>
      <w:pPr>
        <w:pStyle w:val="Heading3"/>
      </w:pPr>
      <w:r>
        <w:t xml:space="preserve">Apa itu KPBU atas prakarsa badan usaha?</w:t>
      </w:r>
    </w:p>
    <w:p>
      <w:pPr>
        <w:pStyle w:val="FirstParagraph"/>
      </w:pPr>
      <w:r>
        <w:t xml:space="preserve">Proyek Kerja Sama Pemerintah dengan Badan Usaha yang inisiatifnya diajukan oleh Badan Usaha kepada Menteri, Kepala Lembaga, atau Kepala Daerah, menurut definisi resmi Kementerian Keuangan (diakses 2026). Gagasannya harus terintegrasi dengan rencana induk sektor, layak secara ekonomi dan finansial, serta diajukan badan usaha dengan kemampuan keuangan memadai.</w:t>
      </w:r>
    </w:p>
    <w:bookmarkEnd w:id="27"/>
    <w:bookmarkStart w:id="28" w:name="X00be3c9298dfd14fbf7a43fed9ec3465e2ab324"/>
    <w:p>
      <w:pPr>
        <w:pStyle w:val="Heading3"/>
      </w:pPr>
      <w:r>
        <w:t xml:space="preserve">Apa bedanya proyek KPBU solicited dan unsolicited?</w:t>
      </w:r>
    </w:p>
    <w:p>
      <w:pPr>
        <w:pStyle w:val="FirstParagraph"/>
      </w:pPr>
      <w:r>
        <w:rPr>
          <w:i/>
          <w:iCs/>
        </w:rPr>
        <w:t xml:space="preserve">Solicited</w:t>
      </w:r>
      <w:r>
        <w:t xml:space="preserve"> </w:t>
      </w:r>
      <w:r>
        <w:t xml:space="preserve">adalah istilah praktik untuk proyek yang direncanakan pemerintah sejak awal, dengan kajian atas beban pemerintah, lalu dilelang.</w:t>
      </w:r>
      <w:r>
        <w:t xml:space="preserve"> </w:t>
      </w:r>
      <w:r>
        <w:rPr>
          <w:i/>
          <w:iCs/>
        </w:rPr>
        <w:t xml:space="preserve">Unsolicited</w:t>
      </w:r>
      <w:r>
        <w:t xml:space="preserve"> </w:t>
      </w:r>
      <w:r>
        <w:t xml:space="preserve">merujuk pada KPBU atas prakarsa Badan Usaha: gagasan dan kajian awal datang dari badan usaha, diajukan ke PJPK, lalu tetap dilelang dengan kompensasi tertentu bagi pemrakarsa.</w:t>
      </w:r>
    </w:p>
    <w:bookmarkEnd w:id="28"/>
    <w:bookmarkStart w:id="29" w:name="X5f2f26f74516ec756446af1e75a0e5d8ff63930"/>
    <w:p>
      <w:pPr>
        <w:pStyle w:val="Heading3"/>
      </w:pPr>
      <w:r>
        <w:t xml:space="preserve">Apakah proyek prakarsa badan usaha masih harus dilelang?</w:t>
      </w:r>
    </w:p>
    <w:p>
      <w:pPr>
        <w:pStyle w:val="FirstParagraph"/>
      </w:pPr>
      <w:r>
        <w:t xml:space="preserve">Ya. Status pemrakarsa tidak menggantikan lelang, karena Perpres 38/2015 (status berlaku per 2026) tetap mewajibkan pengadaan Badan Usaha Pelaksana secara kompetitif. Yang membedakan hanyalah kompensasi yang melekat pada pemrakarsa saat evaluasi penawaran. Menganggap prakarsa berarti penunjukan langsung adalah kesalahpahaman paling umum tentang skema ini.</w:t>
      </w:r>
    </w:p>
    <w:bookmarkEnd w:id="29"/>
    <w:bookmarkStart w:id="30" w:name="apa-itu-right-to-match-dalam-lelang-kpbu"/>
    <w:p>
      <w:pPr>
        <w:pStyle w:val="Heading3"/>
      </w:pPr>
      <w:r>
        <w:t xml:space="preserve">Apa itu right to match dalam lelang KPBU?</w:t>
      </w:r>
    </w:p>
    <w:p>
      <w:pPr>
        <w:pStyle w:val="FirstParagraph"/>
      </w:pPr>
      <w:r>
        <w:t xml:space="preserve">Salah satu bentuk kompensasi bagi badan usaha pemrakarsa yang diatur dalam Pasal 14 Perpres 38/2015: setelah lelang menghasilkan penawaran terbaik, pemrakarsa diberi kesempatan menyamai penawaran tersebut untuk ditetapkan sebagai pemenang. Mekanisme ini justru mensyaratkan lelang berjalan lebih dulu, sehingga pemrakarsa tidak otomatis menang.</w:t>
      </w:r>
    </w:p>
    <w:bookmarkEnd w:id="30"/>
    <w:bookmarkStart w:id="31" w:name="X32b4b193792773a959b7c8829833b938dcdb664"/>
    <w:p>
      <w:pPr>
        <w:pStyle w:val="Heading3"/>
      </w:pPr>
      <w:r>
        <w:t xml:space="preserve">Apa perbedaan Badan Usaha dengan Badan Usaha Pelaksana KPBU?</w:t>
      </w:r>
    </w:p>
    <w:p>
      <w:pPr>
        <w:pStyle w:val="FirstParagraph"/>
      </w:pPr>
      <w:r>
        <w:t xml:space="preserve">Badan Usaha adalah istilah umum untuk BUMN/BUMD, badan usaha swasta berbentuk perseroan terbatas, badan hukum asing, atau koperasi. Badan Usaha Pelaksana KPBU lebih spesifik: perseroan terbatas yang didirikan oleh badan usaha pemenang lelang untuk melaksanakan proyek yang disepakati (definisi Kementerian Keuangan, diakses 2026).</w:t>
      </w:r>
    </w:p>
    <w:bookmarkEnd w:id="31"/>
    <w:bookmarkEnd w:id="32"/>
    <w:bookmarkStart w:id="33" w:name="kesimpulan"/>
    <w:p>
      <w:pPr>
        <w:pStyle w:val="Heading2"/>
      </w:pPr>
      <w:r>
        <w:t xml:space="preserve">Kesimpulan</w:t>
      </w:r>
    </w:p>
    <w:p>
      <w:pPr>
        <w:pStyle w:val="FirstParagraph"/>
      </w:pPr>
      <w:r>
        <w:t xml:space="preserve">Membaca studi kasus proyek infrastruktur di Indonesia tanpa memeriksa jalur masuknya berarti melewatkan separuh ceritanya: siapa menanggung biaya kajian, keunggulan apa yang melekat di ruang lelang, dan pertanyaan mana yang wajar diajukan pada sebuah proposal. Apakah keunggulan pemrakarsa memperluas atau justru mempersempit persaingan tetap pertanyaan empiris yang belum banyak dijawab dengan data Indonesia. Sebagai unit manajemen pengetahuan dan</w:t>
      </w:r>
      <w:r>
        <w:t xml:space="preserve"> </w:t>
      </w:r>
      <w:r>
        <w:rPr>
          <w:i/>
          <w:iCs/>
        </w:rPr>
        <w:t xml:space="preserve">think-tank</w:t>
      </w:r>
      <w:r>
        <w:t xml:space="preserve"> </w:t>
      </w:r>
      <w:r>
        <w:t xml:space="preserve">PT PII, IIGF Institute mempertemukan pertanyaan semacam itu dengan dunia akademik lewat riset dan Journal of Infrastructure Policy and Management (JIPM), jurnal</w:t>
      </w:r>
      <w:r>
        <w:t xml:space="preserve"> </w:t>
      </w:r>
      <w:r>
        <w:rPr>
          <w:i/>
          <w:iCs/>
        </w:rPr>
        <w:t xml:space="preserve">peer-review double-blind</w:t>
      </w:r>
      <w:r>
        <w:t xml:space="preserve">.</w:t>
      </w:r>
    </w:p>
    <w:p>
      <w:pPr>
        <w:pStyle w:val="BodyText"/>
      </w:pPr>
      <w:r>
        <w:t xml:space="preserve">Untuk menelusuri kumpulan kajian studi kasus KPBU dan ketentuan pengiriman naskah ke JIPM, kunjungi institute.iigf.co.id.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institute.iigf.co.id/" TargetMode="External" /><Relationship Type="http://schemas.openxmlformats.org/officeDocument/2006/relationships/hyperlink" Id="rId25" Target="https://institute.iigf.co.id/capacity-building" TargetMode="External" /><Relationship Type="http://schemas.openxmlformats.org/officeDocument/2006/relationships/hyperlink" Id="rId17" Target="https://institute.iigf.co.id/e-library/lainnya/77/studi-kasus-kpbu-untuk-penguatan-infrastruktur-digital-dan-informasi" TargetMode="External" /><Relationship Type="http://schemas.openxmlformats.org/officeDocument/2006/relationships/hyperlink" Id="rId18" Target="https://kpbu.kemenkeu.go.id/faq" TargetMode="External" /><Relationship Type="http://schemas.openxmlformats.org/officeDocument/2006/relationships/hyperlink" Id="rId23" Target="https://pembiayaan.pu.go.id/news/detail/274/SPAM-Karian-Serpong-Wilayah-Kota-Tangerang-Zona-2-dan-Zona-3-Dilanjutkan" TargetMode="External" /></Relationships>
</file>

<file path=word/_rels/footnotes.xml.rels><?xml version="1.0" encoding="UTF-8"?><Relationships xmlns="http://schemas.openxmlformats.org/package/2006/relationships"><Relationship Type="http://schemas.openxmlformats.org/officeDocument/2006/relationships/hyperlink" Id="rId21" Target="https://institute.iigf.co.id/" TargetMode="External" /><Relationship Type="http://schemas.openxmlformats.org/officeDocument/2006/relationships/hyperlink" Id="rId25" Target="https://institute.iigf.co.id/capacity-building" TargetMode="External" /><Relationship Type="http://schemas.openxmlformats.org/officeDocument/2006/relationships/hyperlink" Id="rId17" Target="https://institute.iigf.co.id/e-library/lainnya/77/studi-kasus-kpbu-untuk-penguatan-infrastruktur-digital-dan-informasi" TargetMode="External" /><Relationship Type="http://schemas.openxmlformats.org/officeDocument/2006/relationships/hyperlink" Id="rId18" Target="https://kpbu.kemenkeu.go.id/faq" TargetMode="External" /><Relationship Type="http://schemas.openxmlformats.org/officeDocument/2006/relationships/hyperlink" Id="rId23" Target="https://pembiayaan.pu.go.id/news/detail/274/SPAM-Karian-Serpong-Wilayah-Kota-Tangerang-Zona-2-dan-Zona-3-Dilanjutk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2026-09-21T23:58:48Z</dcterms:created>
  <dcterms:modified xsi:type="dcterms:W3CDTF">2026-09-21T23:58:48Z</dcterms:modified>
</cp:coreProperties>
</file>

<file path=docProps/custom.xml><?xml version="1.0" encoding="utf-8"?>
<Properties xmlns="http://schemas.openxmlformats.org/officeDocument/2006/custom-properties" xmlns:vt="http://schemas.openxmlformats.org/officeDocument/2006/docPropsVTypes"/>
</file>