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"Studi Kasus Proyek Infrastruktur di Indonesia: Ketika Satu Layanan Melintasi Empat Wilayah"</w:t>
      </w:r>
      <w:r>
        <w:br/>
      </w:r>
      <w:r>
        <w:rPr>
          <w:rStyle w:val="FunctionTok"/>
        </w:rPr>
        <w:t xml:space="preserve">meta_title</w:t>
      </w:r>
      <w:r>
        <w:rPr>
          <w:rStyle w:val="KeywordTok"/>
        </w:rPr>
        <w:t xml:space="preserve">:</w:t>
      </w:r>
      <w:r>
        <w:rPr>
          <w:rStyle w:val="AttributeTok"/>
        </w:rPr>
        <w:t xml:space="preserve"> </w:t>
      </w:r>
      <w:r>
        <w:rPr>
          <w:rStyle w:val="StringTok"/>
        </w:rPr>
        <w:t xml:space="preserve">"Studi Kasus Proyek Infrastruktur: SPAM Lintas Daerah"</w:t>
      </w:r>
      <w:r>
        <w:br/>
      </w:r>
      <w:r>
        <w:rPr>
          <w:rStyle w:val="FunctionTok"/>
        </w:rPr>
        <w:t xml:space="preserve">meta_description</w:t>
      </w:r>
      <w:r>
        <w:rPr>
          <w:rStyle w:val="KeywordTok"/>
        </w:rPr>
        <w:t xml:space="preserve">:</w:t>
      </w:r>
      <w:r>
        <w:rPr>
          <w:rStyle w:val="AttributeTok"/>
        </w:rPr>
        <w:t xml:space="preserve"> </w:t>
      </w:r>
      <w:r>
        <w:rPr>
          <w:rStyle w:val="StringTok"/>
        </w:rPr>
        <w:t xml:space="preserve">"Studi kasus proyek infrastruktur di Indonesia: SPAM Regional Jatiluhur I, 4.750 liter/detik untuk empat wilayah, rantai offtake, dan mekanisme take-or-pay."</w:t>
      </w:r>
      <w:r>
        <w:br/>
      </w:r>
      <w:r>
        <w:rPr>
          <w:rStyle w:val="FunctionTok"/>
        </w:rPr>
        <w:t xml:space="preserve">slug</w:t>
      </w:r>
      <w:r>
        <w:rPr>
          <w:rStyle w:val="KeywordTok"/>
        </w:rPr>
        <w:t xml:space="preserve">:</w:t>
      </w:r>
      <w:r>
        <w:rPr>
          <w:rStyle w:val="AttributeTok"/>
        </w:rPr>
        <w:t xml:space="preserve"> </w:t>
      </w:r>
      <w:r>
        <w:rPr>
          <w:rStyle w:val="StringTok"/>
        </w:rPr>
        <w:t xml:space="preserve">"studi-kasus-proyek-infrastruktur-spam-lintas-daerah"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"studi kasus proyek infrastruktur di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"KPBU SPAM regional"</w:t>
      </w:r>
      <w:r>
        <w:rPr>
          <w:rStyle w:val="KeywordTok"/>
        </w:rPr>
        <w:t xml:space="preserve">,</w:t>
      </w:r>
      <w:r>
        <w:rPr>
          <w:rStyle w:val="AttributeTok"/>
        </w:rPr>
        <w:t xml:space="preserve"> </w:t>
      </w:r>
      <w:r>
        <w:rPr>
          <w:rStyle w:val="StringTok"/>
        </w:rPr>
        <w:t xml:space="preserve">"PJPK gabungan"</w:t>
      </w:r>
      <w:r>
        <w:rPr>
          <w:rStyle w:val="KeywordTok"/>
        </w:rPr>
        <w:t xml:space="preserve">,</w:t>
      </w:r>
      <w:r>
        <w:rPr>
          <w:rStyle w:val="AttributeTok"/>
        </w:rPr>
        <w:t xml:space="preserve"> </w:t>
      </w:r>
      <w:r>
        <w:rPr>
          <w:rStyle w:val="StringTok"/>
        </w:rPr>
        <w:t xml:space="preserve">"offtaker PDAM"</w:t>
      </w:r>
      <w:r>
        <w:rPr>
          <w:rStyle w:val="KeywordTok"/>
        </w:rPr>
        <w:t xml:space="preserve">,</w:t>
      </w:r>
      <w:r>
        <w:rPr>
          <w:rStyle w:val="AttributeTok"/>
        </w:rPr>
        <w:t xml:space="preserve"> </w:t>
      </w:r>
      <w:r>
        <w:rPr>
          <w:rStyle w:val="StringTok"/>
        </w:rPr>
        <w:t xml:space="preserve">"perjanjian jual beli air curah"</w:t>
      </w:r>
      <w:r>
        <w:rPr>
          <w:rStyle w:val="KeywordTok"/>
        </w:rPr>
        <w:t xml:space="preserve">,</w:t>
      </w:r>
      <w:r>
        <w:rPr>
          <w:rStyle w:val="AttributeTok"/>
        </w:rPr>
        <w:t xml:space="preserve"> </w:t>
      </w:r>
      <w:r>
        <w:rPr>
          <w:rStyle w:val="StringTok"/>
        </w:rPr>
        <w:t xml:space="preserve">"mekanisme take-or-pay"</w:t>
      </w:r>
      <w:r>
        <w:rPr>
          <w:rStyle w:val="KeywordTok"/>
        </w:rPr>
        <w:t xml:space="preserve">,</w:t>
      </w:r>
      <w:r>
        <w:rPr>
          <w:rStyle w:val="AttributeTok"/>
        </w:rPr>
        <w:t xml:space="preserve"> </w:t>
      </w:r>
      <w:r>
        <w:rPr>
          <w:rStyle w:val="StringTok"/>
        </w:rPr>
        <w:t xml:space="preserve">"tarif air curah"</w:t>
      </w:r>
      <w:r>
        <w:rPr>
          <w:rStyle w:val="KeywordTok"/>
        </w:rPr>
        <w:t xml:space="preserve">,</w:t>
      </w:r>
      <w:r>
        <w:rPr>
          <w:rStyle w:val="AttributeTok"/>
        </w:rPr>
        <w:t xml:space="preserve"> </w:t>
      </w:r>
      <w:r>
        <w:rPr>
          <w:rStyle w:val="StringTok"/>
        </w:rPr>
        <w:t xml:space="preserve">"kerja sama antardaerah"</w:t>
      </w:r>
      <w:r>
        <w:rPr>
          <w:rStyle w:val="KeywordTok"/>
        </w:rPr>
        <w:t xml:space="preserve">,</w:t>
      </w:r>
      <w:r>
        <w:rPr>
          <w:rStyle w:val="AttributeTok"/>
        </w:rPr>
        <w:t xml:space="preserve"> </w:t>
      </w:r>
      <w:r>
        <w:rPr>
          <w:rStyle w:val="StringTok"/>
        </w:rPr>
        <w:t xml:space="preserve">"risiko serapan"</w:t>
      </w:r>
      <w:r>
        <w:rPr>
          <w:rStyle w:val="KeywordTok"/>
        </w:rPr>
        <w:t xml:space="preserve">,</w:t>
      </w:r>
      <w:r>
        <w:rPr>
          <w:rStyle w:val="AttributeTok"/>
        </w:rPr>
        <w:t xml:space="preserve"> </w:t>
      </w:r>
      <w:r>
        <w:rPr>
          <w:rStyle w:val="StringTok"/>
        </w:rPr>
        <w:t xml:space="preserve">"BOT"</w:t>
      </w:r>
      <w:r>
        <w:rPr>
          <w:rStyle w:val="KeywordTok"/>
        </w:rPr>
        <w:t xml:space="preserve">,</w:t>
      </w:r>
      <w:r>
        <w:rPr>
          <w:rStyle w:val="AttributeTok"/>
        </w:rPr>
        <w:t xml:space="preserve"> </w:t>
      </w:r>
      <w:r>
        <w:rPr>
          <w:rStyle w:val="StringTok"/>
        </w:rPr>
        <w:t xml:space="preserve">"masa konsesi"</w:t>
      </w:r>
      <w:r>
        <w:rPr>
          <w:rStyle w:val="KeywordTok"/>
        </w:rPr>
        <w:t xml:space="preserve">,</w:t>
      </w:r>
      <w:r>
        <w:rPr>
          <w:rStyle w:val="AttributeTok"/>
        </w:rPr>
        <w:t xml:space="preserve"> </w:t>
      </w:r>
      <w:r>
        <w:rPr>
          <w:rStyle w:val="StringTok"/>
        </w:rPr>
        <w:t xml:space="preserve">"user charge"</w:t>
      </w:r>
      <w:r>
        <w:rPr>
          <w:rStyle w:val="KeywordTok"/>
        </w:rPr>
        <w:t xml:space="preserve">,</w:t>
      </w:r>
      <w:r>
        <w:rPr>
          <w:rStyle w:val="AttributeTok"/>
        </w:rPr>
        <w:t xml:space="preserve"> </w:t>
      </w:r>
      <w:r>
        <w:rPr>
          <w:rStyle w:val="StringTok"/>
        </w:rPr>
        <w:t xml:space="preserve">"studi kasus KPBU air minum"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"https://institute.iigf.co.id/e-library/lainnya/77/studi-kasus-kpbu-untuk-penguatan-infrastruktur-digital-dan-informasi"</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"studi kasus proyek infrastruktur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"sertifikasi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"https://institute.iigf.co.id/capacity-building"</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"capacity building pembiayaan kreatif"</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"https://kpbu.kemenkeu.go.id/faq"</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resmi PJPK, PJPK gabungan, dan bentuk pengembalian investasi badan usaha (diakses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"https://pu.go.id/berita/spam-regional-jatiluhur-i-mulai-beroperasi-secara-komersial-wakil-menteri-pu-pemenuhan-air-minum-berkualitas-untuk-19-juta-masyarakat"</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"Kapasitas 4.750 liter/detik, alokasi empat wilayah, status operasi komersial 18 Desember 2024"</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"https://kpbu.kemenkeu.go.id/berita/read/1343"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"Newsletter Kantor Bersama KPBU ed. 116/2022: pembagian PJPK lingkup hulu dan hilir pada proyek keluarga Jatiluhur"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"https://pu.go.id/berita/bppspam-dorong-pengelola-spam-regional-mewujudkan-tarif-air-curah-yang-berkeadilan"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"Konteks kebijakan tarif air curah berkeadilan pada SPAM regional (2018)"</w:t>
      </w:r>
      <w:r>
        <w:br/>
      </w:r>
      <w:r>
        <w:rPr>
          <w:rStyle w:val="FunctionTok"/>
        </w:rPr>
        <w:t xml:space="preserve">brief_id</w:t>
      </w:r>
      <w:r>
        <w:rPr>
          <w:rStyle w:val="KeywordTok"/>
        </w:rPr>
        <w:t xml:space="preserve">:</w:t>
      </w:r>
      <w:r>
        <w:rPr>
          <w:rStyle w:val="AttributeTok"/>
        </w:rPr>
        <w:t xml:space="preserve"> </w:t>
      </w:r>
      <w:r>
        <w:rPr>
          <w:rStyle w:val="StringTok"/>
        </w:rPr>
        <w:t xml:space="preserve">"studi-kasus-proyek-infrastruktur-di-indonesia-03"</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"2026-09-22"</w:t>
      </w:r>
      <w:r>
        <w:br/>
      </w:r>
      <w:r>
        <w:rPr>
          <w:rStyle w:val="FunctionTok"/>
        </w:rPr>
        <w:t xml:space="preserve">word_count</w:t>
      </w:r>
      <w:r>
        <w:rPr>
          <w:rStyle w:val="KeywordTok"/>
        </w:rPr>
        <w:t xml:space="preserve">:</w:t>
      </w:r>
      <w:r>
        <w:rPr>
          <w:rStyle w:val="AttributeTok"/>
        </w:rPr>
        <w:t xml:space="preserve"> </w:t>
      </w:r>
      <w:r>
        <w:rPr>
          <w:rStyle w:val="DecValTok"/>
        </w:rPr>
        <w:t xml:space="preserve">1587</w:t>
      </w:r>
    </w:p>
    <w:p>
      <w:r>
        <w:pict>
          <v:rect style="width:0;height:1.5pt" o:hralign="center" o:hrstd="t" o:hr="t"/>
        </w:pict>
      </w:r>
    </w:p>
    <w:bookmarkEnd w:id="16"/>
    <w:bookmarkStart w:id="35" w:name="Xf7db1ff424c201ec08e46aabea6c3af89332330"/>
    <w:p>
      <w:pPr>
        <w:pStyle w:val="Heading1"/>
      </w:pPr>
      <w:r>
        <w:t xml:space="preserve">Studi Kasus Proyek Infrastruktur di Indonesia: Ketika Satu Layanan Melintasi Empat Wilayah</w:t>
      </w:r>
    </w:p>
    <w:p>
      <w:pPr>
        <w:pStyle w:val="FirstParagraph"/>
      </w:pPr>
      <w:r>
        <w:t xml:space="preserve">Sebuah instalasi pengolahan air berdiri di satu kabupaten, mengambil air baku dari waduk yang dikelola sebuah BUMN, lalu menjual air curahnya kepada empat perusahaan daerah di empat yurisdiksi. Pertanyaan pertama di ruang rapat biasanya bukan soal teknik, melainkan kewenangan: siapa menandatangani kontrak tiga puluh tahun, dan apa konsekuensinya bila satu pembeli belum menyerap volume yang dijanjikan. Artikel ini menelusuri rantai kontrak sebuah</w:t>
      </w:r>
      <w:r>
        <w:t xml:space="preserve"> </w:t>
      </w:r>
      <w:hyperlink r:id="rId17">
        <w:r>
          <w:rPr>
            <w:rStyle w:val="Hyperlink"/>
          </w:rPr>
          <w:t xml:space="preserve">studi kasus proyek infrastruktur di Indonesia</w:t>
        </w:r>
      </w:hyperlink>
      <w:r>
        <w:t xml:space="preserve"> </w:t>
      </w:r>
      <w:r>
        <w:t xml:space="preserve">dengan geometri seperti itu, SPAM Regional Jatiluhur I, sampai ke tarifnya.</w:t>
      </w:r>
    </w:p>
    <w:p>
      <w:pPr>
        <w:pStyle w:val="BlockText"/>
      </w:pPr>
      <w:r>
        <w:rPr>
          <w:b/>
          <w:bCs/>
        </w:rPr>
        <w:t xml:space="preserve">Ringkasnya:</w:t>
      </w:r>
      <w:r>
        <w:t xml:space="preserve"> </w:t>
      </w:r>
      <w:r>
        <w:t xml:space="preserve">SPAM regional adalah Sistem Penyediaan Air Minum yang melayani lebih dari satu wilayah administratif dari satu sumber air baku bersama, dengan air curah dipisahkan dari distribusi ritel. Pemisahan itu menciptakan pembeli antara (</w:t>
      </w:r>
      <w:r>
        <w:rPr>
          <w:i/>
          <w:iCs/>
        </w:rPr>
        <w:t xml:space="preserve">offtaker</w:t>
      </w:r>
      <w:r>
        <w:t xml:space="preserve">), biasanya perusahaan daerah air minum tiap wilayah — seperti Jatiluhur I yang melayani empat yurisdiksi sejak beroperasi komersial Desember 2024 (Kementerian PU, 2024).</w:t>
      </w:r>
    </w:p>
    <w:bookmarkStart w:id="18" w:name="apa-itu-spam-regional-dalam-skema-kpbu"/>
    <w:p>
      <w:pPr>
        <w:pStyle w:val="Heading2"/>
      </w:pPr>
      <w:r>
        <w:t xml:space="preserve">Apa itu SPAM regional dalam skema KPBU?</w:t>
      </w:r>
    </w:p>
    <w:p>
      <w:pPr>
        <w:pStyle w:val="FirstParagraph"/>
      </w:pPr>
      <w:r>
        <w:t xml:space="preserve">SPAM regional muncul ketika kebutuhan air satu daerah tidak terpenuhi oleh sumber lokalnya, sehingga beberapa daerah berbagi satu sumber air baku. Dalam skema KPBU (</w:t>
      </w:r>
      <w:r>
        <w:rPr>
          <w:i/>
          <w:iCs/>
        </w:rPr>
        <w:t xml:space="preserve">Kerja Sama Pemerintah dengan Badan Usaha</w:t>
      </w:r>
      <w:r>
        <w:t xml:space="preserve">), lingkup yang dikerjasamakan umumnya berhenti pada penyediaan air curah (</w:t>
      </w:r>
      <w:r>
        <w:rPr>
          <w:i/>
          <w:iCs/>
        </w:rPr>
        <w:t xml:space="preserve">bulk water</w:t>
      </w:r>
      <w:r>
        <w:t xml:space="preserve">), sedangkan distribusi ke pelanggan tetap di tangan perusahaan daerah.</w:t>
      </w:r>
    </w:p>
    <w:p>
      <w:pPr>
        <w:pStyle w:val="BodyText"/>
      </w:pPr>
      <w:r>
        <w:t xml:space="preserve">Konsekuensinya besar: badan usaha pelaksana tidak pernah menagih rumah tangga, melainkan perusahaan daerah air minum. Karena itu kontrak jual beli air curah menjadi dokumen paling menentukan.</w:t>
      </w:r>
    </w:p>
    <w:p>
      <w:pPr>
        <w:pStyle w:val="BodyText"/>
      </w:pPr>
      <w:r>
        <w:t xml:space="preserve">Polanya bukan kasus tunggal: SPAM Regional Karian–Serpong dirancang menyalurkan sekitar 4.600 liter/detik ke tiga wilayah di Banten dan DKI Jakarta (basis data proyek KPBU, akses 2026).</w:t>
      </w:r>
    </w:p>
    <w:bookmarkEnd w:id="18"/>
    <w:bookmarkStart w:id="20" w:name="X8a9efa51650b9434a99037e0e01cc3ac9ba9cd4"/>
    <w:p>
      <w:pPr>
        <w:pStyle w:val="Heading2"/>
      </w:pPr>
      <w:r>
        <w:t xml:space="preserve">Siapa yang menjadi PJPK ketika layanan melintasi batas wilayah?</w:t>
      </w:r>
    </w:p>
    <w:p>
      <w:pPr>
        <w:pStyle w:val="FirstParagraph"/>
      </w:pPr>
      <w:r>
        <w:t xml:space="preserve">PJPK (Penanggung Jawab Proyek Kerjasama) ditentukan oleh kewenangan atas infrastruktur yang dikerjasamakan, bukan oleh jumlah daerah yang dilayani. Pada SPAM Regional Jatiluhur I, PJPK dipegang Kementerian Pekerjaan Umum (Kementerian PU) karena lingkup kerja samanya, penyediaan air curah lintas wilayah, melampaui kewenangan satu pemerintah daerah.</w:t>
      </w:r>
    </w:p>
    <w:p>
      <w:pPr>
        <w:pStyle w:val="BodyText"/>
      </w:pPr>
      <w:r>
        <w:t xml:space="preserve">Satu istilah sering disalahpahami. FAQ resmi Kementerian Keuangan mendefinisikan</w:t>
      </w:r>
      <w:r>
        <w:t xml:space="preserve"> </w:t>
      </w:r>
      <w:hyperlink r:id="rId19">
        <w:r>
          <w:rPr>
            <w:rStyle w:val="Hyperlink"/>
          </w:rPr>
          <w:t xml:space="preserve">PJPK gabungan</w:t>
        </w:r>
      </w:hyperlink>
      <w:r>
        <w:t xml:space="preserve"> </w:t>
      </w:r>
      <w:r>
        <w:t xml:space="preserve">secara sempit: ketika satu proyek KPBU menggabungkan dua atau lebih</w:t>
      </w:r>
      <w:r>
        <w:t xml:space="preserve"> </w:t>
      </w:r>
      <w:r>
        <w:rPr>
          <w:b/>
          <w:bCs/>
        </w:rPr>
        <w:t xml:space="preserve">jenis</w:t>
      </w:r>
      <w:r>
        <w:t xml:space="preserve"> </w:t>
      </w:r>
      <w:r>
        <w:t xml:space="preserve">infrastruktur, misalnya jalan tol bersama pelabuhan, pihak yang berwenang atas tiap sektor bertindak bersama-sama sebagai PJPK (diakses 2026). Satu jenis infrastruktur yang melayani banyak daerah tidak masuk kategori itu, jadi Jatiluhur I bukan contoh PJPK gabungan.</w:t>
      </w:r>
    </w:p>
    <w:p>
      <w:pPr>
        <w:pStyle w:val="BodyText"/>
      </w:pPr>
      <w:r>
        <w:t xml:space="preserve">Yang lebih tepat adalah pembagian PJPK menurut lingkup. Newsletter Kantor Bersama KPBU edisi 116/2022 (kpbu.kemenkeu.go.id) mendokumentasikan pola itu pada proyek kembarnya, SPAM Regional Ir. H. Djuanda atau Jatiluhur II: lingkup hulu (</w:t>
      </w:r>
      <w:r>
        <w:rPr>
          <w:i/>
          <w:iCs/>
        </w:rPr>
        <w:t xml:space="preserve">intake</w:t>
      </w:r>
      <w:r>
        <w:t xml:space="preserve">, produksi, transmisi) di bawah PJPK kementerian, lingkup hilir (perpipaan distribusi, sambungan rumah, pemeliharaan) di tangan kepala daerah. Untuk Jatiluhur I, pembagian itu tidak dinyatakan sejelas itu dalam dokumen publik, tetapi konsisten dengan struktur</w:t>
      </w:r>
      <w:r>
        <w:t xml:space="preserve"> </w:t>
      </w:r>
      <w:r>
        <w:rPr>
          <w:i/>
          <w:iCs/>
        </w:rPr>
        <w:t xml:space="preserve">offtake</w:t>
      </w:r>
      <w:r>
        <w:t xml:space="preserve">-nya yang sudah terkonfirmasi.</w:t>
      </w:r>
    </w:p>
    <w:bookmarkEnd w:id="20"/>
    <w:bookmarkStart w:id="22" w:name="X618386ce1f0bcc52b8d8047533c80d910a72f14"/>
    <w:p>
      <w:pPr>
        <w:pStyle w:val="Heading2"/>
      </w:pPr>
      <w:r>
        <w:t xml:space="preserve">Rantai offtake: dari waduk sampai tagihan pelanggan</w:t>
      </w:r>
    </w:p>
    <w:p>
      <w:pPr>
        <w:pStyle w:val="FirstParagraph"/>
      </w:pPr>
      <w:r>
        <w:t xml:space="preserve">Rantai</w:t>
      </w:r>
      <w:r>
        <w:t xml:space="preserve"> </w:t>
      </w:r>
      <w:r>
        <w:rPr>
          <w:i/>
          <w:iCs/>
        </w:rPr>
        <w:t xml:space="preserve">offtake</w:t>
      </w:r>
      <w:r>
        <w:t xml:space="preserve"> </w:t>
      </w:r>
      <w:r>
        <w:t xml:space="preserve">adalah urutan siapa menyerahkan air kepada siapa, dengan perjanjian apa, sampai uang pelanggan kembali menjadi pengembalian investasi. Pada KPBU air minum, rantai itu punya enam simpul, dan satu di tengahnya, perjanjian jual beli air curah, menentukan apakah proyek layak dibiayai.</w:t>
      </w:r>
    </w:p>
    <w:p>
      <w:pPr>
        <w:pStyle w:val="Compact"/>
        <w:numPr>
          <w:ilvl w:val="0"/>
          <w:numId w:val="1001"/>
        </w:numPr>
      </w:pPr>
      <w:r>
        <w:rPr>
          <w:b/>
          <w:bCs/>
        </w:rPr>
        <w:t xml:space="preserve">Air baku.</w:t>
      </w:r>
      <w:r>
        <w:t xml:space="preserve"> </w:t>
      </w:r>
      <w:r>
        <w:t xml:space="preserve">Waduk Ir. H. Djuanda dan Saluran Tarum Barat, dikelola Perum Jasa Tirta II.</w:t>
      </w:r>
    </w:p>
    <w:p>
      <w:pPr>
        <w:pStyle w:val="Compact"/>
        <w:numPr>
          <w:ilvl w:val="0"/>
          <w:numId w:val="1001"/>
        </w:numPr>
      </w:pPr>
      <w:r>
        <w:rPr>
          <w:b/>
          <w:bCs/>
        </w:rPr>
        <w:t xml:space="preserve">Pengolahan.</w:t>
      </w:r>
      <w:r>
        <w:t xml:space="preserve"> </w:t>
      </w:r>
      <w:r>
        <w:t xml:space="preserve">Badan Usaha Pelaksana (BUP) membangun dan mengoperasikan instalasi pengolahan dan jaringan transmisi lewat perjanjian kerja sama dengan PJPK.</w:t>
      </w:r>
    </w:p>
    <w:p>
      <w:pPr>
        <w:pStyle w:val="Compact"/>
        <w:numPr>
          <w:ilvl w:val="0"/>
          <w:numId w:val="1001"/>
        </w:numPr>
      </w:pPr>
      <w:r>
        <w:rPr>
          <w:b/>
          <w:bCs/>
        </w:rPr>
        <w:t xml:space="preserve">Perjanjian jual beli air curah.</w:t>
      </w:r>
      <w:r>
        <w:t xml:space="preserve"> </w:t>
      </w:r>
      <w:r>
        <w:t xml:space="preserve">BUP dan tiap</w:t>
      </w:r>
      <w:r>
        <w:t xml:space="preserve"> </w:t>
      </w:r>
      <w:r>
        <w:rPr>
          <w:i/>
          <w:iCs/>
        </w:rPr>
        <w:t xml:space="preserve">offtaker</w:t>
      </w:r>
      <w:r>
        <w:t xml:space="preserve"> </w:t>
      </w:r>
      <w:r>
        <w:t xml:space="preserve">menyepakati volume, tarif, titik serah terima, dan konsekuensi bila komitmen tak terpenuhi.</w:t>
      </w:r>
    </w:p>
    <w:p>
      <w:pPr>
        <w:pStyle w:val="Compact"/>
        <w:numPr>
          <w:ilvl w:val="0"/>
          <w:numId w:val="1001"/>
        </w:numPr>
      </w:pPr>
      <w:r>
        <w:rPr>
          <w:b/>
          <w:bCs/>
        </w:rPr>
        <w:t xml:space="preserve">Pembelian.</w:t>
      </w:r>
      <w:r>
        <w:t xml:space="preserve"> </w:t>
      </w:r>
      <w:r>
        <w:t xml:space="preserve">Perusahaan daerah air minum membeli air curah sesuai alokasi wilayahnya.</w:t>
      </w:r>
    </w:p>
    <w:p>
      <w:pPr>
        <w:pStyle w:val="Compact"/>
        <w:numPr>
          <w:ilvl w:val="0"/>
          <w:numId w:val="1001"/>
        </w:numPr>
      </w:pPr>
      <w:r>
        <w:rPr>
          <w:b/>
          <w:bCs/>
        </w:rPr>
        <w:t xml:space="preserve">Distribusi hilir.</w:t>
      </w:r>
      <w:r>
        <w:t xml:space="preserve"> </w:t>
      </w:r>
      <w:r>
        <w:rPr>
          <w:i/>
          <w:iCs/>
        </w:rPr>
        <w:t xml:space="preserve">Offtaker</w:t>
      </w:r>
      <w:r>
        <w:t xml:space="preserve"> </w:t>
      </w:r>
      <w:r>
        <w:t xml:space="preserve">menyalurkannya lewat pipa dan sambungan rumah, lalu menetapkan tarif pelanggannya.</w:t>
      </w:r>
    </w:p>
    <w:p>
      <w:pPr>
        <w:pStyle w:val="Compact"/>
        <w:numPr>
          <w:ilvl w:val="0"/>
          <w:numId w:val="1001"/>
        </w:numPr>
      </w:pPr>
      <w:r>
        <w:rPr>
          <w:b/>
          <w:bCs/>
        </w:rPr>
        <w:t xml:space="preserve">Tagihan pelanggan.</w:t>
      </w:r>
      <w:r>
        <w:t xml:space="preserve"> </w:t>
      </w:r>
      <w:r>
        <w:t xml:space="preserve">Dari sinilah pendapatan mengalir kembali ke</w:t>
      </w:r>
      <w:r>
        <w:t xml:space="preserve"> </w:t>
      </w:r>
      <w:r>
        <w:rPr>
          <w:i/>
          <w:iCs/>
        </w:rPr>
        <w:t xml:space="preserve">offtaker</w:t>
      </w:r>
      <w:r>
        <w:t xml:space="preserve">, lalu ke BUP.</w:t>
      </w:r>
    </w:p>
    <w:p>
      <w:pPr>
        <w:pStyle w:val="FirstParagraph"/>
      </w:pPr>
      <w:r>
        <w:t xml:space="preserve">FAQ Kementerian Keuangan menyebut tiga bentuk pengembalian investasi badan usaha: tarif dari pengguna, pembayaran ketersediaan layanan (</w:t>
      </w:r>
      <w:r>
        <w:rPr>
          <w:i/>
          <w:iCs/>
        </w:rPr>
        <w:t xml:space="preserve">availability payment</w:t>
      </w:r>
      <w:r>
        <w:t xml:space="preserve">), dan bentuk lain yang sah. Jatiluhur I memakai yang pertama,</w:t>
      </w:r>
      <w:r>
        <w:t xml:space="preserve"> </w:t>
      </w:r>
      <w:r>
        <w:rPr>
          <w:i/>
          <w:iCs/>
        </w:rPr>
        <w:t xml:space="preserve">user charge</w:t>
      </w:r>
      <w:r>
        <w:t xml:space="preserve">. Membaca siapa membeli, pada harga berapa, dan siapa memikul risiko permintaan adalah materi inti kerangka penyiapan proyek pada jalur</w:t>
      </w:r>
      <w:r>
        <w:t xml:space="preserve"> </w:t>
      </w:r>
      <w:hyperlink r:id="rId21">
        <w:r>
          <w:rPr>
            <w:rStyle w:val="Hyperlink"/>
          </w:rPr>
          <w:t xml:space="preserve">sertifikasi KPBU</w:t>
        </w:r>
      </w:hyperlink>
      <w:r>
        <w:t xml:space="preserve">.</w:t>
      </w:r>
    </w:p>
    <w:bookmarkEnd w:id="22"/>
    <w:bookmarkStart w:id="24" w:name="membedah-spam-regional-jatiluhur-i"/>
    <w:p>
      <w:pPr>
        <w:pStyle w:val="Heading2"/>
      </w:pPr>
      <w:r>
        <w:t xml:space="preserve">Membedah SPAM Regional Jatiluhur I</w:t>
      </w:r>
    </w:p>
    <w:p>
      <w:pPr>
        <w:pStyle w:val="FirstParagraph"/>
      </w:pPr>
      <w:r>
        <w:t xml:space="preserve">Proyek ini berkapasitas 4.750 liter/detik, melayani empat yurisdiksi di dua provinsi, berskema BOT (</w:t>
      </w:r>
      <w:r>
        <w:rPr>
          <w:i/>
          <w:iCs/>
        </w:rPr>
        <w:t xml:space="preserve">Build-Operate-Transfer</w:t>
      </w:r>
      <w:r>
        <w:t xml:space="preserve">), dan</w:t>
      </w:r>
      <w:r>
        <w:t xml:space="preserve"> </w:t>
      </w:r>
      <w:hyperlink r:id="rId23">
        <w:r>
          <w:rPr>
            <w:rStyle w:val="Hyperlink"/>
          </w:rPr>
          <w:t xml:space="preserve">beroperasi secara komersial sejak 18 Desember 2024</w:t>
        </w:r>
      </w:hyperlink>
      <w:r>
        <w:t xml:space="preserve">. Badan Usaha Pelaksananya adalah PT Wika Tirta Jaya Jatiluhur, dan proyek ini masuk lewat jalur prakarsa badan usaha.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Wilayah layanan</w:t>
            </w:r>
          </w:p>
        </w:tc>
        <w:tc>
          <w:tcPr/>
          <w:p>
            <w:pPr>
              <w:pStyle w:val="Compact"/>
            </w:pPr>
            <w:r>
              <w:t xml:space="preserve">Offtaker (perusahaan daerah air minum)</w:t>
            </w:r>
          </w:p>
        </w:tc>
        <w:tc>
          <w:tcPr/>
          <w:p>
            <w:pPr>
              <w:pStyle w:val="Compact"/>
            </w:pPr>
            <w:r>
              <w:t xml:space="preserve">Alokasi (liter/detik)</w:t>
            </w:r>
          </w:p>
        </w:tc>
        <w:tc>
          <w:tcPr/>
          <w:p>
            <w:pPr>
              <w:pStyle w:val="Compact"/>
            </w:pPr>
            <w:r>
              <w:t xml:space="preserve">Porsi volume</w:t>
            </w:r>
          </w:p>
        </w:tc>
      </w:tr>
      <w:tr>
        <w:tc>
          <w:tcPr/>
          <w:p>
            <w:pPr>
              <w:pStyle w:val="Compact"/>
            </w:pPr>
            <w:r>
              <w:t xml:space="preserve">Kabupaten Karawang</w:t>
            </w:r>
          </w:p>
        </w:tc>
        <w:tc>
          <w:tcPr/>
          <w:p>
            <w:pPr>
              <w:pStyle w:val="Compact"/>
            </w:pPr>
            <w:r>
              <w:t xml:space="preserve">Tirta Tarum</w:t>
            </w:r>
          </w:p>
        </w:tc>
        <w:tc>
          <w:tcPr/>
          <w:p>
            <w:pPr>
              <w:pStyle w:val="Compact"/>
            </w:pPr>
            <w:r>
              <w:t xml:space="preserve">350</w:t>
            </w:r>
          </w:p>
        </w:tc>
        <w:tc>
          <w:tcPr/>
          <w:p>
            <w:pPr>
              <w:pStyle w:val="Compact"/>
            </w:pPr>
            <w:r>
              <w:t xml:space="preserve">±7%</w:t>
            </w:r>
          </w:p>
        </w:tc>
      </w:tr>
      <w:tr>
        <w:tc>
          <w:tcPr/>
          <w:p>
            <w:pPr>
              <w:pStyle w:val="Compact"/>
            </w:pPr>
            <w:r>
              <w:t xml:space="preserve">Kabupaten Bekasi</w:t>
            </w:r>
          </w:p>
        </w:tc>
        <w:tc>
          <w:tcPr/>
          <w:p>
            <w:pPr>
              <w:pStyle w:val="Compact"/>
            </w:pPr>
            <w:r>
              <w:t xml:space="preserve">Tirta Bhagasasi</w:t>
            </w:r>
          </w:p>
        </w:tc>
        <w:tc>
          <w:tcPr/>
          <w:p>
            <w:pPr>
              <w:pStyle w:val="Compact"/>
            </w:pPr>
            <w:r>
              <w:t xml:space="preserve">100</w:t>
            </w:r>
          </w:p>
        </w:tc>
        <w:tc>
          <w:tcPr/>
          <w:p>
            <w:pPr>
              <w:pStyle w:val="Compact"/>
            </w:pPr>
            <w:r>
              <w:t xml:space="preserve">±2%</w:t>
            </w:r>
          </w:p>
        </w:tc>
      </w:tr>
      <w:tr>
        <w:tc>
          <w:tcPr/>
          <w:p>
            <w:pPr>
              <w:pStyle w:val="Compact"/>
            </w:pPr>
            <w:r>
              <w:t xml:space="preserve">Kota Bekasi</w:t>
            </w:r>
          </w:p>
        </w:tc>
        <w:tc>
          <w:tcPr/>
          <w:p>
            <w:pPr>
              <w:pStyle w:val="Compact"/>
            </w:pPr>
            <w:r>
              <w:t xml:space="preserve">PDAM Kota Bekasi</w:t>
            </w:r>
          </w:p>
        </w:tc>
        <w:tc>
          <w:tcPr/>
          <w:p>
            <w:pPr>
              <w:pStyle w:val="Compact"/>
            </w:pPr>
            <w:r>
              <w:t xml:space="preserve">300</w:t>
            </w:r>
          </w:p>
        </w:tc>
        <w:tc>
          <w:tcPr/>
          <w:p>
            <w:pPr>
              <w:pStyle w:val="Compact"/>
            </w:pPr>
            <w:r>
              <w:t xml:space="preserve">±6%</w:t>
            </w:r>
          </w:p>
        </w:tc>
      </w:tr>
      <w:tr>
        <w:tc>
          <w:tcPr/>
          <w:p>
            <w:pPr>
              <w:pStyle w:val="Compact"/>
            </w:pPr>
            <w:r>
              <w:t xml:space="preserve">DKI Jakarta</w:t>
            </w:r>
          </w:p>
        </w:tc>
        <w:tc>
          <w:tcPr/>
          <w:p>
            <w:pPr>
              <w:pStyle w:val="Compact"/>
            </w:pPr>
            <w:r>
              <w:t xml:space="preserve">PAM Jaya</w:t>
            </w:r>
          </w:p>
        </w:tc>
        <w:tc>
          <w:tcPr/>
          <w:p>
            <w:pPr>
              <w:pStyle w:val="Compact"/>
            </w:pPr>
            <w:r>
              <w:t xml:space="preserve">4.000</w:t>
            </w:r>
          </w:p>
        </w:tc>
        <w:tc>
          <w:tcPr/>
          <w:p>
            <w:pPr>
              <w:pStyle w:val="Compact"/>
            </w:pPr>
            <w:r>
              <w:t xml:space="preserve">±84%</w:t>
            </w:r>
          </w:p>
        </w:tc>
      </w:tr>
    </w:tbl>
    <w:p>
      <w:pPr>
        <w:pStyle w:val="BodyText"/>
      </w:pPr>
      <w:r>
        <w:t xml:space="preserve">Alokasi per wilayah menurut Kementerian PU (2024); porsi volume adalah hitungan dari angka itu. Bentuk badan hukum tiap perusahaan daerah (Perumda, Perumdam, atau PDAM) masih berbeda antarsumber, jadi tabel ini memakai nama dagangnya dan sebaiknya diverifikasi ke situs resmi sebelum dikutip.</w:t>
      </w:r>
    </w:p>
    <w:p>
      <w:pPr>
        <w:pStyle w:val="BodyText"/>
      </w:pPr>
      <w:r>
        <w:t xml:space="preserve">Keempat pembeli menghadapi struktur yang sama: air curah diterima di titik serah terima, sementara distribusi hilir, sambungan rumah, dan tarif pelanggan tetap urusan masing-masing. Yang tidak sama adalah bobotnya. Karena satu</w:t>
      </w:r>
      <w:r>
        <w:t xml:space="preserve"> </w:t>
      </w:r>
      <w:r>
        <w:rPr>
          <w:i/>
          <w:iCs/>
        </w:rPr>
        <w:t xml:space="preserve">offtaker</w:t>
      </w:r>
      <w:r>
        <w:t xml:space="preserve"> </w:t>
      </w:r>
      <w:r>
        <w:t xml:space="preserve">memegang sekitar 84% volume, keandalan pendapatan proyek bergantung pada kesiapan satu jaringan hilir.</w:t>
      </w:r>
    </w:p>
    <w:p>
      <w:pPr>
        <w:pStyle w:val="BodyText"/>
      </w:pPr>
      <w:r>
        <w:t xml:space="preserve">Masa kerja samanya perlu dibaca hati-hati. Pemberitaan resmi 2021–2024 di kpbu.kemenkeu.go.id menyebut sekitar 30 tahun: 2,5 tahun konstruksi sejak 19 Januari 2022, dan 27,5 tahun operasi. Satu halaman portal PPID Kementerian PU (September 2025) mencantumkan 34 tahun 11 bulan untuk sistem hulu, kemungkinan memakai definisi lingkup lain. Keduanya indikatif dan belum direkonsiliasi publik.</w:t>
      </w:r>
    </w:p>
    <w:p>
      <w:pPr>
        <w:pStyle w:val="BodyText"/>
      </w:pPr>
      <w:r>
        <w:t xml:space="preserve">Nilai investasinya tercatat Rp 1.675.000.000.000 pada basis data proyek KPBU Kementerian Keuangan (indikatif, akses 2026). Targetnya melayani lebih dari 1,9 juta masyarakat di DKI Jakarta dan Jawa Barat (Kementerian PU, 2024).</w:t>
      </w:r>
    </w:p>
    <w:bookmarkEnd w:id="24"/>
    <w:bookmarkStart w:id="26" w:name="X201a837f0ac07a3f2e5e2a484c31d4529dcf76b"/>
    <w:p>
      <w:pPr>
        <w:pStyle w:val="Heading2"/>
      </w:pPr>
      <w:r>
        <w:t xml:space="preserve">Sisi yang jarang dibahas: ke mana risiko permintaan berpindah</w:t>
      </w:r>
    </w:p>
    <w:p>
      <w:pPr>
        <w:pStyle w:val="FirstParagraph"/>
      </w:pPr>
      <w:r>
        <w:t xml:space="preserve">Mekanisme</w:t>
      </w:r>
      <w:r>
        <w:t xml:space="preserve"> </w:t>
      </w:r>
      <w:r>
        <w:rPr>
          <w:i/>
          <w:iCs/>
        </w:rPr>
        <w:t xml:space="preserve">take-or-pay</w:t>
      </w:r>
      <w:r>
        <w:t xml:space="preserve"> </w:t>
      </w:r>
      <w:r>
        <w:t xml:space="preserve">mewajibkan</w:t>
      </w:r>
      <w:r>
        <w:t xml:space="preserve"> </w:t>
      </w:r>
      <w:r>
        <w:rPr>
          <w:i/>
          <w:iCs/>
        </w:rPr>
        <w:t xml:space="preserve">offtaker</w:t>
      </w:r>
      <w:r>
        <w:t xml:space="preserve"> </w:t>
      </w:r>
      <w:r>
        <w:t xml:space="preserve">membayar volume minimum yang disepakati meski serapan aktualnya lebih rendah. Risiko permintaan pun berpindah dari badan usaha pelaksana ke perusahaan daerah pembeli. Itu bukan cacat desain, melainkan harga dari kepastian arus kas yang membuat investasi awal bisa dibiayai.</w:t>
      </w:r>
    </w:p>
    <w:p>
      <w:pPr>
        <w:pStyle w:val="BodyText"/>
      </w:pPr>
      <w:r>
        <w:t xml:space="preserve">Untuk Jatiluhur I, klausul itu perlu disikapi hati-hati. Deskripsi skema penjualan air curahnya menyebut mekanisme tersebut, sementara dua halaman berita resmi kpbu.kemenkeu.go.id tentang proyek ini tidak menyinggungnya. Aman membacanya sebagai praktik lazim KPBU air minum, bukan fakta kontraktual yang sudah pasti.</w:t>
      </w:r>
    </w:p>
    <w:p>
      <w:pPr>
        <w:pStyle w:val="BodyText"/>
      </w:pPr>
      <w:r>
        <w:t xml:space="preserve">Jaringan hilir tidak selesai dalam semalam, dan angka tahun pertama memperlihatkannya.</w:t>
      </w:r>
    </w:p>
    <w:p>
      <w:pPr>
        <w:pStyle w:val="BodyText"/>
      </w:pPr>
      <w:r>
        <w:t xml:space="preserve">Air yang disalurkan pada tahun pertama disebut sekitar 744 liter/detik dari rencana 4.750 liter/detik, dengan lebih dari 21.624 sambungan rumah baru, sementara penyaluran penuh direncanakan bertahap dalam lima tahun (Kementerian PU, 2024).</w:t>
      </w:r>
    </w:p>
    <w:p>
      <w:pPr>
        <w:pStyle w:val="BodyText"/>
      </w:pPr>
      <w:r>
        <w:t xml:space="preserve">Tarif air curah adalah titik gesekan berikutnya. Sejak 2018, BPPSPAM (Badan Peningkatan Penyelenggaraan Sistem Penyediaan Air Minum) menyusun panduan perhitungan tarif air curah SPAM regional justru karena tarifnya sering lebih tinggi daripada tarif rata-rata di wilayah pelayanan (pu.go.id, 2018). Pada Jatiluhur I, satu laporan menyebut angka indikatif sekitar Rp 2.519/m³ per 2025; karena sumbernya tunggal, angka itu perlu dikonfirmasi ke dokumen resmi.</w:t>
      </w:r>
    </w:p>
    <w:p>
      <w:pPr>
        <w:pStyle w:val="BodyText"/>
      </w:pPr>
      <w:r>
        <w:t xml:space="preserve">Menegosiasikan empat perjanjian sekaligus menuntut kapasitas yang jarang tersedia utuh di satu perusahaan daerah, dan</w:t>
      </w:r>
      <w:r>
        <w:t xml:space="preserve"> </w:t>
      </w:r>
      <w:hyperlink r:id="rId25">
        <w:r>
          <w:rPr>
            <w:rStyle w:val="Hyperlink"/>
          </w:rPr>
          <w:t xml:space="preserve">capacity building pembiayaan kreatif</w:t>
        </w:r>
      </w:hyperlink>
      <w:r>
        <w:t xml:space="preserve"> </w:t>
      </w:r>
      <w:r>
        <w:t xml:space="preserve">lebih berguna sebelum kontrak diteken daripada sesudahnya. Empat hal perlu disepakati lebih dulu:</w:t>
      </w:r>
    </w:p>
    <w:p>
      <w:pPr>
        <w:pStyle w:val="Compact"/>
        <w:numPr>
          <w:ilvl w:val="0"/>
          <w:numId w:val="1002"/>
        </w:numPr>
      </w:pPr>
      <w:r>
        <w:rPr>
          <w:b/>
          <w:bCs/>
        </w:rPr>
        <w:t xml:space="preserve">Alokasi volume dan kurva serapan realistis</w:t>
      </w:r>
      <w:r>
        <w:t xml:space="preserve">, bukan angka desain maksimum.</w:t>
      </w:r>
    </w:p>
    <w:p>
      <w:pPr>
        <w:pStyle w:val="Compact"/>
        <w:numPr>
          <w:ilvl w:val="0"/>
          <w:numId w:val="1002"/>
        </w:numPr>
      </w:pPr>
      <w:r>
        <w:rPr>
          <w:b/>
          <w:bCs/>
        </w:rPr>
        <w:t xml:space="preserve">Formula tarif air curah dan mekanisme penyesuaiannya</w:t>
      </w:r>
      <w:r>
        <w:t xml:space="preserve"> </w:t>
      </w:r>
      <w:r>
        <w:t xml:space="preserve">sepanjang masa kerja sama.</w:t>
      </w:r>
    </w:p>
    <w:p>
      <w:pPr>
        <w:pStyle w:val="Compact"/>
        <w:numPr>
          <w:ilvl w:val="0"/>
          <w:numId w:val="1002"/>
        </w:numPr>
      </w:pPr>
      <w:r>
        <w:rPr>
          <w:b/>
          <w:bCs/>
        </w:rPr>
        <w:t xml:space="preserve">Titik serah terima dan kesiapan jaringan hilir</w:t>
      </w:r>
      <w:r>
        <w:t xml:space="preserve">, termasuk pembiayaan sambungan rumah baru.</w:t>
      </w:r>
    </w:p>
    <w:p>
      <w:pPr>
        <w:pStyle w:val="Compact"/>
        <w:numPr>
          <w:ilvl w:val="0"/>
          <w:numId w:val="1002"/>
        </w:numPr>
      </w:pPr>
      <w:r>
        <w:rPr>
          <w:b/>
          <w:bCs/>
        </w:rPr>
        <w:t xml:space="preserve">Konsekuensi bila serapan di bawah komitmen</w:t>
      </w:r>
      <w:r>
        <w:t xml:space="preserve">, dengan masa tenggang terukur.</w:t>
      </w:r>
    </w:p>
    <w:bookmarkEnd w:id="26"/>
    <w:bookmarkStart w:id="33" w:name="faq-pertanyaan-yang-sering-diajukan"/>
    <w:p>
      <w:pPr>
        <w:pStyle w:val="Heading2"/>
      </w:pPr>
      <w:r>
        <w:t xml:space="preserve">FAQ (Pertanyaan yang Sering Diajukan)</w:t>
      </w:r>
    </w:p>
    <w:bookmarkStart w:id="27" w:name="apa-itu-spam-regional"/>
    <w:p>
      <w:pPr>
        <w:pStyle w:val="Heading3"/>
      </w:pPr>
      <w:r>
        <w:t xml:space="preserve">Apa itu SPAM regional?</w:t>
      </w:r>
    </w:p>
    <w:p>
      <w:pPr>
        <w:pStyle w:val="FirstParagraph"/>
      </w:pPr>
      <w:r>
        <w:t xml:space="preserve">SPAM regional adalah Sistem Penyediaan Air Minum yang melayani lebih dari satu wilayah administratif, bahkan lintas provinsi, dari satu sumber air baku bersama. Penyediaan air curah dipisahkan dari distribusi ritel, yang tetap dipegang perusahaan daerah tiap wilayah. Contohnya Jatiluhur I, komersial sejak Desember 2024 (Kementerian PU, 2024).</w:t>
      </w:r>
    </w:p>
    <w:bookmarkEnd w:id="27"/>
    <w:bookmarkStart w:id="28" w:name="apa-yang-dimaksud-dengan-pjpk-gabungan"/>
    <w:p>
      <w:pPr>
        <w:pStyle w:val="Heading3"/>
      </w:pPr>
      <w:r>
        <w:t xml:space="preserve">Apa yang dimaksud dengan PJPK gabungan?</w:t>
      </w:r>
    </w:p>
    <w:p>
      <w:pPr>
        <w:pStyle w:val="FirstParagraph"/>
      </w:pPr>
      <w:r>
        <w:t xml:space="preserve">Menurut FAQ Kementerian Keuangan (diakses 2026), PJPK gabungan berlaku ketika satu proyek KPBU menggabungkan dua atau lebih jenis infrastruktur, misalnya jalan tol dengan pelabuhan, sehingga pihak berwenang atas masing-masing sektor bertindak bersama sebagai PJPK. Proyek satu sektor yang melayani banyak daerah tidak termasuk kategori ini.</w:t>
      </w:r>
    </w:p>
    <w:bookmarkEnd w:id="28"/>
    <w:bookmarkStart w:id="29" w:name="X5fdaf9a934e672061859af958340eee3f46e5b3"/>
    <w:p>
      <w:pPr>
        <w:pStyle w:val="Heading3"/>
      </w:pPr>
      <w:r>
        <w:t xml:space="preserve">Siapa yang membeli air dari SPAM regional?</w:t>
      </w:r>
    </w:p>
    <w:p>
      <w:pPr>
        <w:pStyle w:val="FirstParagraph"/>
      </w:pPr>
      <w:r>
        <w:t xml:space="preserve">Pembelinya disebut</w:t>
      </w:r>
      <w:r>
        <w:t xml:space="preserve"> </w:t>
      </w:r>
      <w:r>
        <w:rPr>
          <w:i/>
          <w:iCs/>
        </w:rPr>
        <w:t xml:space="preserve">offtaker</w:t>
      </w:r>
      <w:r>
        <w:t xml:space="preserve">, umumnya perusahaan daerah air minum di tiap wilayah layanan. Pada SPAM Regional Jatiluhur I, alokasinya 4.000 liter/detik untuk PAM Jaya (DKI Jakarta), 350 untuk Kabupaten Karawang, 300 untuk Kota Bekasi, dan 100 untuk Kabupaten Bekasi (Kementerian PU, 2024).</w:t>
      </w:r>
    </w:p>
    <w:bookmarkEnd w:id="29"/>
    <w:bookmarkStart w:id="30" w:name="Xbe67fef7fa361d145e2803f892cee96c8729fc1"/>
    <w:p>
      <w:pPr>
        <w:pStyle w:val="Heading3"/>
      </w:pPr>
      <w:r>
        <w:t xml:space="preserve">Apa itu mekanisme take-or-pay dan siapa yang menanggung risikonya?</w:t>
      </w:r>
    </w:p>
    <w:p>
      <w:pPr>
        <w:pStyle w:val="FirstParagraph"/>
      </w:pPr>
      <w:r>
        <w:rPr>
          <w:i/>
          <w:iCs/>
        </w:rPr>
        <w:t xml:space="preserve">Take-or-pay</w:t>
      </w:r>
      <w:r>
        <w:t xml:space="preserve"> </w:t>
      </w:r>
      <w:r>
        <w:t xml:space="preserve">mewajibkan</w:t>
      </w:r>
      <w:r>
        <w:t xml:space="preserve"> </w:t>
      </w:r>
      <w:r>
        <w:rPr>
          <w:i/>
          <w:iCs/>
        </w:rPr>
        <w:t xml:space="preserve">offtaker</w:t>
      </w:r>
      <w:r>
        <w:t xml:space="preserve"> </w:t>
      </w:r>
      <w:r>
        <w:t xml:space="preserve">membayar volume minimum yang disepakati meski serapan aktual lebih rendah, sehingga risiko permintaan berpindah ke perusahaan daerah pembeli. Ini alokasi risiko yang lazim agar proyek layak dibiayai, bukan kelalaian satu pihak. Yang menentukan: kesesuaian komitmen volume dengan kesiapan jaringan hilir.</w:t>
      </w:r>
    </w:p>
    <w:bookmarkEnd w:id="30"/>
    <w:bookmarkStart w:id="31" w:name="X9a3da8ec995cb0486e523e119faea975ce10c42"/>
    <w:p>
      <w:pPr>
        <w:pStyle w:val="Heading3"/>
      </w:pPr>
      <w:r>
        <w:t xml:space="preserve">Apa bedanya tarif air curah dan tarif pelanggan?</w:t>
      </w:r>
    </w:p>
    <w:p>
      <w:pPr>
        <w:pStyle w:val="FirstParagraph"/>
      </w:pPr>
      <w:r>
        <w:t xml:space="preserve">Tarif air curah dibayar</w:t>
      </w:r>
      <w:r>
        <w:t xml:space="preserve"> </w:t>
      </w:r>
      <w:r>
        <w:rPr>
          <w:i/>
          <w:iCs/>
        </w:rPr>
        <w:t xml:space="preserve">offtaker</w:t>
      </w:r>
      <w:r>
        <w:t xml:space="preserve"> </w:t>
      </w:r>
      <w:r>
        <w:t xml:space="preserve">kepada badan usaha pelaksana per meter kubik di titik serah terima; satu laporan menyebut angka indikatif sekitar Rp 2.519/m³ untuk Jatiluhur I per 2025, dan perlu dikonfirmasi. Tarif pelanggan dibayar rumah tangga kepada PDAM, sudah memuat biaya distribusi, dan ditetapkan tiap daerah.</w:t>
      </w:r>
    </w:p>
    <w:bookmarkEnd w:id="31"/>
    <w:bookmarkStart w:id="32" w:name="X79175aa9dd75e4a1b30c75af01a5de2535de0a9"/>
    <w:p>
      <w:pPr>
        <w:pStyle w:val="Heading3"/>
      </w:pPr>
      <w:r>
        <w:t xml:space="preserve">Berapa lama masa konsesi proyek KPBU air minum?</w:t>
      </w:r>
    </w:p>
    <w:p>
      <w:pPr>
        <w:pStyle w:val="FirstParagraph"/>
      </w:pPr>
      <w:r>
        <w:t xml:space="preserve">Masa konsesi berbeda antarproyek dan diatur dalam perjanjian kerja samanya. Pada Jatiluhur I, sumber resmi menyebut sekitar 30 tahun, mencakup 2,5 tahun konstruksi sejak Januari 2022 dan sisanya masa operasi (indikatif per pemberitaan 2021–2024). Satu sumber lain menyebut 34 tahun 11 bulan untuk sistem hulu; keduanya belum direkonsiliasi.</w:t>
      </w:r>
    </w:p>
    <w:bookmarkEnd w:id="32"/>
    <w:bookmarkEnd w:id="33"/>
    <w:bookmarkStart w:id="34" w:name="kesimpulan"/>
    <w:p>
      <w:pPr>
        <w:pStyle w:val="Heading2"/>
      </w:pPr>
      <w:r>
        <w:t xml:space="preserve">Kesimpulan</w:t>
      </w:r>
    </w:p>
    <w:p>
      <w:pPr>
        <w:pStyle w:val="FirstParagraph"/>
      </w:pPr>
      <w:r>
        <w:t xml:space="preserve">Kembali ke pertanyaan kewenangan di ruang rapat. Satu studi kasus proyek infrastruktur di Indonesia seperti Jatiluhur I melatih kebiasaan menelusuri siapa menandatangani apa, dan siapa menanggung apa ketika asumsi permintaan bergeser. Tata kelola kerja sama antardaerah masih tipis basis buktinya, padahal proyek lintas yurisdiksi terus bertambah. Sebagai unit manajemen pengetahuan dan</w:t>
      </w:r>
      <w:r>
        <w:t xml:space="preserve"> </w:t>
      </w:r>
      <w:r>
        <w:rPr>
          <w:i/>
          <w:iCs/>
        </w:rPr>
        <w:t xml:space="preserve">think-tank</w:t>
      </w:r>
      <w:r>
        <w:t xml:space="preserve"> </w:t>
      </w:r>
      <w:r>
        <w:t xml:space="preserve">PT Penjaminan Infrastruktur Indonesia (Persero), IIGF Institute menerbitkan Journal of Infrastructure Policy and Management (JIPM) sejak 2018. Jurnal</w:t>
      </w:r>
      <w:r>
        <w:t xml:space="preserve"> </w:t>
      </w:r>
      <w:r>
        <w:rPr>
          <w:i/>
          <w:iCs/>
        </w:rPr>
        <w:t xml:space="preserve">peer-review double-blind</w:t>
      </w:r>
      <w:r>
        <w:t xml:space="preserve"> </w:t>
      </w:r>
      <w:r>
        <w:t xml:space="preserve">itu salah satu wadah bagi kajian semacam ini: pengalaman menyiapkan skema lintas daerah layak ditulis, bukan hanya dirapatkan.</w:t>
      </w:r>
    </w:p>
    <w:p>
      <w:pPr>
        <w:pStyle w:val="BodyText"/>
      </w:pPr>
      <w:r>
        <w:t xml:space="preserve">Untuk menelusuri kajian tata kelola proyek lintas daerah dan jalur publikasi di JIPM, silakan berkunjung ke institute.iigf.co.id.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19" Target="https://kpbu.kemenkeu.go.id/faq" TargetMode="External" /><Relationship Type="http://schemas.openxmlformats.org/officeDocument/2006/relationships/hyperlink" Id="rId23" Target="https://pu.go.id/berita/spam-regional-jatiluhur-i-mulai-beroperasi-secara-komersial-wakil-menteri-pu-pemenuhan-air-minum-berkualitas-untuk-19-juta-masyarakat" TargetMode="External" /></Relationships>
</file>

<file path=word/_rels/footnotes.xml.rels><?xml version="1.0" encoding="UTF-8"?><Relationships xmlns="http://schemas.openxmlformats.org/package/2006/relationships"><Relationship Type="http://schemas.openxmlformats.org/officeDocument/2006/relationships/hyperlink" Id="rId21" Target="https://institute.iigf.co.id/" TargetMode="External" /><Relationship Type="http://schemas.openxmlformats.org/officeDocument/2006/relationships/hyperlink" Id="rId25" Target="https://institute.iigf.co.id/capacity-building" TargetMode="External" /><Relationship Type="http://schemas.openxmlformats.org/officeDocument/2006/relationships/hyperlink" Id="rId17" Target="https://institute.iigf.co.id/e-library/lainnya/77/studi-kasus-kpbu-untuk-penguatan-infrastruktur-digital-dan-informasi" TargetMode="External" /><Relationship Type="http://schemas.openxmlformats.org/officeDocument/2006/relationships/hyperlink" Id="rId19" Target="https://kpbu.kemenkeu.go.id/faq" TargetMode="External" /><Relationship Type="http://schemas.openxmlformats.org/officeDocument/2006/relationships/hyperlink" Id="rId23" Target="https://pu.go.id/berita/spam-regional-jatiluhur-i-mulai-beroperasi-secara-komersial-wakil-menteri-pu-pemenuhan-air-minum-berkualitas-untuk-19-juta-masyarak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2026-09-21T23:58:48Z</dcterms:created>
  <dcterms:modified xsi:type="dcterms:W3CDTF">2026-09-21T23:58:48Z</dcterms:modified>
</cp:coreProperties>
</file>

<file path=docProps/custom.xml><?xml version="1.0" encoding="utf-8"?>
<Properties xmlns="http://schemas.openxmlformats.org/officeDocument/2006/custom-properties" xmlns:vt="http://schemas.openxmlformats.org/officeDocument/2006/docPropsVTypes"/>
</file>