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Saat Asumsi Lalu Lintas Meleset"</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Risiko Permintaan Tol"</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risiko permintaan pada Tol Serang–Panimbang, capex Rp 8,58 triliun, konsesi 40 tahun, dan instrumen mitigasinya."</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"studi-kasus-proyek-infrastruktur-risiko-permintaan-tol"</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"risiko permintaan"</w:t>
      </w:r>
      <w:r>
        <w:rPr>
          <w:rStyle w:val="KeywordTok"/>
        </w:rPr>
        <w:t xml:space="preserve">,</w:t>
      </w:r>
      <w:r>
        <w:rPr>
          <w:rStyle w:val="AttributeTok"/>
        </w:rPr>
        <w:t xml:space="preserve"> </w:t>
      </w:r>
      <w:r>
        <w:rPr>
          <w:rStyle w:val="StringTok"/>
        </w:rPr>
        <w:t xml:space="preserve">"proyeksi lalu lintas"</w:t>
      </w:r>
      <w:r>
        <w:rPr>
          <w:rStyle w:val="KeywordTok"/>
        </w:rPr>
        <w:t xml:space="preserve">,</w:t>
      </w:r>
      <w:r>
        <w:rPr>
          <w:rStyle w:val="AttributeTok"/>
        </w:rPr>
        <w:t xml:space="preserve"> </w:t>
      </w:r>
      <w:r>
        <w:rPr>
          <w:rStyle w:val="StringTok"/>
        </w:rPr>
        <w:t xml:space="preserve">"skema user pays"</w:t>
      </w:r>
      <w:r>
        <w:rPr>
          <w:rStyle w:val="KeywordTok"/>
        </w:rPr>
        <w:t xml:space="preserve">,</w:t>
      </w:r>
      <w:r>
        <w:rPr>
          <w:rStyle w:val="AttributeTok"/>
        </w:rPr>
        <w:t xml:space="preserve"> </w:t>
      </w:r>
      <w:r>
        <w:rPr>
          <w:rStyle w:val="StringTok"/>
        </w:rPr>
        <w:t xml:space="preserve">"masa konsesi jalan tol"</w:t>
      </w:r>
      <w:r>
        <w:rPr>
          <w:rStyle w:val="KeywordTok"/>
        </w:rPr>
        <w:t xml:space="preserve">,</w:t>
      </w:r>
      <w:r>
        <w:rPr>
          <w:rStyle w:val="AttributeTok"/>
        </w:rPr>
        <w:t xml:space="preserve"> </w:t>
      </w:r>
      <w:r>
        <w:rPr>
          <w:rStyle w:val="StringTok"/>
        </w:rPr>
        <w:t xml:space="preserve">"dukungan kelayakan VGF"</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"alokasi risiko KPBU"</w:t>
      </w:r>
      <w:r>
        <w:rPr>
          <w:rStyle w:val="KeywordTok"/>
        </w:rPr>
        <w:t xml:space="preserve">,</w:t>
      </w:r>
      <w:r>
        <w:rPr>
          <w:rStyle w:val="AttributeTok"/>
        </w:rPr>
        <w:t xml:space="preserve"> </w:t>
      </w:r>
      <w:r>
        <w:rPr>
          <w:rStyle w:val="StringTok"/>
        </w:rPr>
        <w:t xml:space="preserve">"kelayakan finansial proyek"</w:t>
      </w:r>
      <w:r>
        <w:rPr>
          <w:rStyle w:val="KeywordTok"/>
        </w:rPr>
        <w:t xml:space="preserve">,</w:t>
      </w:r>
      <w:r>
        <w:rPr>
          <w:rStyle w:val="AttributeTok"/>
        </w:rPr>
        <w:t xml:space="preserve"> </w:t>
      </w:r>
      <w:r>
        <w:rPr>
          <w:rStyle w:val="StringTok"/>
        </w:rPr>
        <w:t xml:space="preserve">"Badan Pengatur Jalan Tol"</w:t>
      </w:r>
      <w:r>
        <w:rPr>
          <w:rStyle w:val="KeywordTok"/>
        </w:rPr>
        <w:t xml:space="preserve">,</w:t>
      </w:r>
      <w:r>
        <w:rPr>
          <w:rStyle w:val="AttributeTok"/>
        </w:rPr>
        <w:t xml:space="preserve"> </w:t>
      </w:r>
      <w:r>
        <w:rPr>
          <w:rStyle w:val="StringTok"/>
        </w:rPr>
        <w:t xml:space="preserve">"pembukaan bertahap per seksi"</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"https://kpbu.kemenkeu.go.id/proyek/detail/117-jalan-tol-serang-panimbang"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"Profil resmi Jalan Tol Serang–Panimbang: PJPK, nilai investasi Rp 8.575.000.000.000, status proyek, skema tarif"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"https://kpbu.kemenkeu.go.id/read/37-40/pjpk/dukungan-pemerintah/dukungan-kelayakan"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Dukungan Kelayakan (VGF), syarat nilai investasi minimal Rp 100 miliar, dan tujuan keterjangkauan tarif"</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"https://ppp.worldbank.org/library/toll-road-ppps-identifying-mitigating-and-managing-traffic-risk"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"Kerangka internasional risiko lalu lintas pada KPBU jalan tol dan riwayat peramalan yang meleset dari realisasi"</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1562</w:t>
      </w:r>
    </w:p>
    <w:p>
      <w:r>
        <w:pict>
          <v:rect style="width:0;height:1.5pt" o:hralign="center" o:hrstd="t" o:hr="t"/>
        </w:pict>
      </w:r>
    </w:p>
    <w:bookmarkEnd w:id="16"/>
    <w:bookmarkStart w:id="35" w:name="X4b7d38bb44e9e083e5cd41930a992f2622950b9"/>
    <w:p>
      <w:pPr>
        <w:pStyle w:val="Heading1"/>
      </w:pPr>
      <w:r>
        <w:t xml:space="preserve">Studi Kasus Proyek Infrastruktur di Indonesia: Saat Asumsi Lalu Lintas Meleset</w:t>
      </w:r>
    </w:p>
    <w:p>
      <w:pPr>
        <w:pStyle w:val="FirstParagraph"/>
      </w:pPr>
      <w:r>
        <w:t xml:space="preserve">Di model keuangan jalan tol, satu deret angka menentukan hampir segalanya: proyeksi lalu lintas sepanjang masa konsesi. Angka itu disusun sebelum jalannya ada, bersandar pada kawasan industri dan destinasi wisata yang belum berdiri. Praktisi menyebutnya risiko permintaan. Artikel ini membedah satu</w:t>
      </w:r>
      <w:r>
        <w:t xml:space="preserve"> </w:t>
      </w:r>
      <w:hyperlink r:id="rId17">
        <w:r>
          <w:rPr>
            <w:rStyle w:val="Hyperlink"/>
          </w:rPr>
          <w:t xml:space="preserve">studi kasus proyek infrastruktur di Indonesia</w:t>
        </w:r>
      </w:hyperlink>
      <w:r>
        <w:t xml:space="preserve">, Jalan Tol Serang–Panimbang, bukan untuk menilai kinerjanya, melainkan untuk membaca bagaimana asumsi permintaan dialokasikan dan dimitigasi — termasuk temuan kurang nyaman bahwa sebagian datanya tak dipublikasikan di kanal resmi.</w:t>
      </w:r>
    </w:p>
    <w:p>
      <w:pPr>
        <w:pStyle w:val="BlockText"/>
      </w:pPr>
      <w:r>
        <w:rPr>
          <w:b/>
          <w:bCs/>
        </w:rPr>
        <w:t xml:space="preserve">Ringkasnya:</w:t>
      </w:r>
      <w:r>
        <w:t xml:space="preserve"> </w:t>
      </w:r>
      <w:r>
        <w:t xml:space="preserve">Risiko permintaan dalam proyek KPBU (</w:t>
      </w:r>
      <w:r>
        <w:rPr>
          <w:i/>
          <w:iCs/>
        </w:rPr>
        <w:t xml:space="preserve">Kerja Sama Pemerintah dengan Badan Usaha</w:t>
      </w:r>
      <w:r>
        <w:t xml:space="preserve">) adalah risiko bahwa volume pengguna riil berbeda dari proyeksi yang mendasari kelayakan finansialnya. Risiko ini melekat pada pengembalian investasi lewat tarif pengguna (</w:t>
      </w:r>
      <w:r>
        <w:rPr>
          <w:i/>
          <w:iCs/>
        </w:rPr>
        <w:t xml:space="preserve">user pays</w:t>
      </w:r>
      <w:r>
        <w:t xml:space="preserve">), seperti Jalan Tol Serang–Panimbang dengan konsesi 40 tahun (portal KPBU Kemenkeu, 2026), dan dipikul badan usaha pelaksana, bukan pemerintah.</w:t>
      </w:r>
    </w:p>
    <w:bookmarkStart w:id="18" w:name="Xaf0408c8aac7d0704febc2ae2e470526ca36e12"/>
    <w:p>
      <w:pPr>
        <w:pStyle w:val="Heading2"/>
      </w:pPr>
      <w:r>
        <w:t xml:space="preserve">Apa itu risiko permintaan dalam proyek KPBU?</w:t>
      </w:r>
    </w:p>
    <w:p>
      <w:pPr>
        <w:pStyle w:val="FirstParagraph"/>
      </w:pPr>
      <w:r>
        <w:t xml:space="preserve">Risiko permintaan adalah risiko bahwa jumlah pengguna riil berbeda dari angka proyeksi yang dipakai untuk menghitung kelayakan finansial. Pada skema tarif pengguna, risiko itu dipikul badan usaha pelaksana. Kontrasnya tegas: portal KPBU Kemenkeu mendefinisikan</w:t>
      </w:r>
      <w:r>
        <w:t xml:space="preserve"> </w:t>
      </w:r>
      <w:r>
        <w:rPr>
          <w:i/>
          <w:iCs/>
        </w:rPr>
        <w:t xml:space="preserve">availability payment</w:t>
      </w:r>
      <w:r>
        <w:t xml:space="preserve"> </w:t>
      </w:r>
      <w:r>
        <w:t xml:space="preserve">(pembayaran ketersediaan layanan) sebagai skema yang</w:t>
      </w:r>
      <w:r>
        <w:t xml:space="preserve"> </w:t>
      </w:r>
      <w:r>
        <w:t xml:space="preserve">“mengalokasikan risiko pendapatan proyek ke pihak pemerintah”</w:t>
      </w:r>
      <w:r>
        <w:t xml:space="preserve"> </w:t>
      </w:r>
      <w:r>
        <w:t xml:space="preserve">(diakses 2026).</w:t>
      </w:r>
    </w:p>
    <w:p>
      <w:pPr>
        <w:pStyle w:val="BodyText"/>
      </w:pPr>
      <w:r>
        <w:t xml:space="preserve">Kesimpulannya diturunkan lewat kontras logis, bukan dari rumusan resmi soal risiko permintaan: bila pembayaran ketersediaan layanan memindahkan risiko pendapatan ke pemerintah, pada skema tarif risiko itu tinggal di neraca badan usaha. Memilih mekanisme pembayaran berarti memilih siapa menanggung selisih proyeksi dan realisasi.</w:t>
      </w:r>
    </w:p>
    <w:p>
      <w:pPr>
        <w:pStyle w:val="BodyText"/>
      </w:pPr>
      <w:r>
        <w:t xml:space="preserve">Prinsip alokasi risiko KPBU menempatkan tiap risiko pada pihak yang paling mampu mengelolanya. Persoalannya, risiko permintaan jalan tol hampir tak terkelola siapa pun: badan usaha mengatur operasi gerbang, bukan jadwal berdirinya kawasan industri.</w:t>
      </w:r>
      <w:r>
        <w:t xml:space="preserve"> </w:t>
      </w:r>
      <w:r>
        <w:rPr>
          <w:i/>
          <w:iCs/>
        </w:rPr>
        <w:t xml:space="preserve">User pays</w:t>
      </w:r>
      <w:r>
        <w:t xml:space="preserve"> </w:t>
      </w:r>
      <w:r>
        <w:t xml:space="preserve">memindahkan pembiayaan sekaligus ketidakpastian.</w:t>
      </w:r>
    </w:p>
    <w:bookmarkEnd w:id="18"/>
    <w:bookmarkStart w:id="20" w:name="X5cd04ca80189e316bdccd2940ac59831b3e5587"/>
    <w:p>
      <w:pPr>
        <w:pStyle w:val="Heading2"/>
      </w:pPr>
      <w:r>
        <w:t xml:space="preserve">Dari mana angka proyeksi lalu lintas berasal</w:t>
      </w:r>
    </w:p>
    <w:p>
      <w:pPr>
        <w:pStyle w:val="FirstParagraph"/>
      </w:pPr>
      <w:r>
        <w:t xml:space="preserve">Proyeksi lalu lintas umumnya dibangun dari lima kelompok asumsi: pertumbuhan penduduk dan ekonomi koridor, rencana tata ruang, kawasan serta destinasi yang direncanakan, pengalihan arus dari jalan eksisting, dan elastisitas terhadap tarif. Makin besar porsi asumsi yang bersandar pada pembangunan yang belum terjadi, makin lebar ketidakpastiannya.</w:t>
      </w:r>
    </w:p>
    <w:p>
      <w:pPr>
        <w:pStyle w:val="Compact"/>
        <w:numPr>
          <w:ilvl w:val="0"/>
          <w:numId w:val="1001"/>
        </w:numPr>
      </w:pPr>
      <w:r>
        <w:rPr>
          <w:b/>
          <w:bCs/>
        </w:rPr>
        <w:t xml:space="preserve">Pertumbuhan penduduk dan ekonomi koridor.</w:t>
      </w:r>
      <w:r>
        <w:t xml:space="preserve"> </w:t>
      </w:r>
      <w:r>
        <w:t xml:space="preserve">Basis paling konservatif, tetapi bergeser mengikuti siklus ekonomi.</w:t>
      </w:r>
    </w:p>
    <w:p>
      <w:pPr>
        <w:pStyle w:val="Compact"/>
        <w:numPr>
          <w:ilvl w:val="0"/>
          <w:numId w:val="1001"/>
        </w:numPr>
      </w:pPr>
      <w:r>
        <w:rPr>
          <w:b/>
          <w:bCs/>
        </w:rPr>
        <w:t xml:space="preserve">Rencana tata ruang.</w:t>
      </w:r>
      <w:r>
        <w:t xml:space="preserve"> </w:t>
      </w:r>
      <w:r>
        <w:t xml:space="preserve">Menunjukkan ke mana ekonomi diarahkan, bukan kapan perpindahannya terjadi.</w:t>
      </w:r>
    </w:p>
    <w:p>
      <w:pPr>
        <w:pStyle w:val="Compact"/>
        <w:numPr>
          <w:ilvl w:val="0"/>
          <w:numId w:val="1001"/>
        </w:numPr>
      </w:pPr>
      <w:r>
        <w:rPr>
          <w:b/>
          <w:bCs/>
        </w:rPr>
        <w:t xml:space="preserve">Kawasan industri dan destinasi wisata yang direncanakan.</w:t>
      </w:r>
      <w:r>
        <w:t xml:space="preserve"> </w:t>
      </w:r>
      <w:r>
        <w:t xml:space="preserve">Sumber pertumbuhan terbesar sekaligus paling rapuh; jadwalnya di luar kendali badan usaha.</w:t>
      </w:r>
    </w:p>
    <w:p>
      <w:pPr>
        <w:pStyle w:val="Compact"/>
        <w:numPr>
          <w:ilvl w:val="0"/>
          <w:numId w:val="1001"/>
        </w:numPr>
      </w:pPr>
      <w:r>
        <w:rPr>
          <w:b/>
          <w:bCs/>
        </w:rPr>
        <w:t xml:space="preserve">Pengalihan arus dari jalan nasional eksisting.</w:t>
      </w:r>
      <w:r>
        <w:t xml:space="preserve"> </w:t>
      </w:r>
      <w:r>
        <w:t xml:space="preserve">Diperkirakan lewat survei asal-tujuan; sensitif terhadap jalan pesaing bebas tarif.</w:t>
      </w:r>
    </w:p>
    <w:p>
      <w:pPr>
        <w:pStyle w:val="Compact"/>
        <w:numPr>
          <w:ilvl w:val="0"/>
          <w:numId w:val="1001"/>
        </w:numPr>
      </w:pPr>
      <w:r>
        <w:rPr>
          <w:b/>
          <w:bCs/>
        </w:rPr>
        <w:t xml:space="preserve">Elastisitas terhadap tarif.</w:t>
      </w:r>
      <w:r>
        <w:t xml:space="preserve"> </w:t>
      </w:r>
      <w:r>
        <w:t xml:space="preserve">Lazim diuji dengan beberapa skenario, bukan satu angka.</w:t>
      </w:r>
    </w:p>
    <w:p>
      <w:pPr>
        <w:pStyle w:val="FirstParagraph"/>
      </w:pPr>
      <w:r>
        <w:t xml:space="preserve">Menguji asumsi semacam ini, termasuk meminta skenario pesimistis, adalah kompetensi tim PJPK (Penanggung Jawab Proyek Kerjasama) sebelum model keuangan disetujui. Agenda</w:t>
      </w:r>
      <w:r>
        <w:t xml:space="preserve"> </w:t>
      </w:r>
      <w:hyperlink r:id="rId19">
        <w:r>
          <w:rPr>
            <w:rStyle w:val="Hyperlink"/>
          </w:rPr>
          <w:t xml:space="preserve">capacity building pembiayaan kreatif</w:t>
        </w:r>
      </w:hyperlink>
      <w:r>
        <w:t xml:space="preserve"> </w:t>
      </w:r>
      <w:r>
        <w:t xml:space="preserve">menyentuh titik ini: optimisme yang lolos di tahap penyiapan diwarisi kontrak puluhan tahun.</w:t>
      </w:r>
    </w:p>
    <w:bookmarkEnd w:id="20"/>
    <w:bookmarkStart w:id="22" w:name="Xf98d2605cc6937b14b6e343d593c9f2e3ef711b"/>
    <w:p>
      <w:pPr>
        <w:pStyle w:val="Heading2"/>
      </w:pPr>
      <w:r>
        <w:t xml:space="preserve">Membaca tesis permintaan Tol Serang–Panimbang</w:t>
      </w:r>
    </w:p>
    <w:p>
      <w:pPr>
        <w:pStyle w:val="FirstParagraph"/>
      </w:pPr>
      <w:r>
        <w:t xml:space="preserve">Jalan Tol Serang–Panimbang adalah proyek KPBU dengan PJPK Kementerian PU melalui Badan Pengatur Jalan Tol (BPJT), nilai investasi indikatif ±Rp 8,58 triliun, masa konsesi 40 tahun, dan pengembalian lewat tarif tol (</w:t>
      </w:r>
      <w:hyperlink r:id="rId21">
        <w:r>
          <w:rPr>
            <w:rStyle w:val="Hyperlink"/>
          </w:rPr>
          <w:t xml:space="preserve">portal KPBU Kementerian Keuangan</w:t>
        </w:r>
      </w:hyperlink>
      <w:r>
        <w:t xml:space="preserve">, 2026). Tesis permintaannya bertumpu pada konektivitas penuh koridor Banten selatan.</w:t>
      </w:r>
    </w:p>
    <w:p>
      <w:pPr>
        <w:pStyle w:val="BodyText"/>
      </w:pPr>
      <w:r>
        <w:t xml:space="preserve">Sumber resmi Kementerian Keuangan menyebut tujuannya mendukung Kawasan Ekonomi Khusus Pariwisata Tanjung Lesung, Taman Nasional Ujung Kulon, serta pesisir Anyer dan Labuan, selain memangkas waktu tempuh Serang–Rangkasbitung dari 50 menit menjadi 15–20 menit (diakses 2026).</w:t>
      </w:r>
    </w:p>
    <w:p>
      <w:pPr>
        <w:pStyle w:val="BodyText"/>
      </w:pPr>
      <w:r>
        <w:t xml:space="preserve">Itu pernyataan tesis, bukan realisasi terukur: alasan lalu lintas diperkirakan tumbuh, bukan bukti pertumbuhannya.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Keterangan</w:t>
            </w:r>
          </w:p>
        </w:tc>
        <w:tc>
          <w:tcPr/>
          <w:p>
            <w:pPr>
              <w:pStyle w:val="Compact"/>
            </w:pPr>
            <w:r>
              <w:t xml:space="preserve">Tahun &amp; sumber</w:t>
            </w:r>
          </w:p>
        </w:tc>
      </w:tr>
      <w:tr>
        <w:tc>
          <w:tcPr/>
          <w:p>
            <w:pPr>
              <w:pStyle w:val="Compact"/>
            </w:pPr>
            <w:r>
              <w:t xml:space="preserve">PJPK</w:t>
            </w:r>
          </w:p>
        </w:tc>
        <w:tc>
          <w:tcPr/>
          <w:p>
            <w:pPr>
              <w:pStyle w:val="Compact"/>
            </w:pPr>
            <w:r>
              <w:t xml:space="preserve">Kementerian PU via BPJT</w:t>
            </w:r>
          </w:p>
        </w:tc>
        <w:tc>
          <w:tcPr/>
          <w:p>
            <w:pPr>
              <w:pStyle w:val="Compact"/>
            </w:pPr>
            <w:r>
              <w:t xml:space="preserve">2026, KPBU Kemenkeu</w:t>
            </w:r>
          </w:p>
        </w:tc>
      </w:tr>
      <w:tr>
        <w:tc>
          <w:tcPr/>
          <w:p>
            <w:pPr>
              <w:pStyle w:val="Compact"/>
            </w:pPr>
            <w:r>
              <w:t xml:space="preserve">Nilai investasi</w:t>
            </w:r>
          </w:p>
        </w:tc>
        <w:tc>
          <w:tcPr/>
          <w:p>
            <w:pPr>
              <w:pStyle w:val="Compact"/>
            </w:pPr>
            <w:r>
              <w:t xml:space="preserve">±Rp 8,58 triliun / Rp 8.575.000.000.000 (indikatif)</w:t>
            </w:r>
          </w:p>
        </w:tc>
        <w:tc>
          <w:tcPr/>
          <w:p>
            <w:pPr>
              <w:pStyle w:val="Compact"/>
            </w:pPr>
            <w:r>
              <w:t xml:space="preserve">2026, KPBU Kemenkeu</w:t>
            </w:r>
          </w:p>
        </w:tc>
      </w:tr>
      <w:tr>
        <w:tc>
          <w:tcPr/>
          <w:p>
            <w:pPr>
              <w:pStyle w:val="Compact"/>
            </w:pPr>
            <w:r>
              <w:t xml:space="preserve">Masa konsesi</w:t>
            </w:r>
          </w:p>
        </w:tc>
        <w:tc>
          <w:tcPr/>
          <w:p>
            <w:pPr>
              <w:pStyle w:val="Compact"/>
            </w:pPr>
            <w:r>
              <w:t xml:space="preserve">40 tahun (indikatif)</w:t>
            </w:r>
          </w:p>
        </w:tc>
        <w:tc>
          <w:tcPr/>
          <w:p>
            <w:pPr>
              <w:pStyle w:val="Compact"/>
            </w:pPr>
            <w:r>
              <w:t xml:space="preserve">2026, KPBU Kemenkeu</w:t>
            </w:r>
          </w:p>
        </w:tc>
      </w:tr>
      <w:tr>
        <w:tc>
          <w:tcPr/>
          <w:p>
            <w:pPr>
              <w:pStyle w:val="Compact"/>
            </w:pPr>
            <w:r>
              <w:t xml:space="preserve">Skema pengembalian</w:t>
            </w:r>
          </w:p>
        </w:tc>
        <w:tc>
          <w:tcPr/>
          <w:p>
            <w:pPr>
              <w:pStyle w:val="Compact"/>
            </w:pPr>
            <w:r>
              <w:t xml:space="preserve">Tarif tol (</w:t>
            </w:r>
            <w:r>
              <w:rPr>
                <w:i/>
                <w:iCs/>
              </w:rPr>
              <w:t xml:space="preserve">user pays</w:t>
            </w:r>
            <w:r>
              <w:t xml:space="preserve">)</w:t>
            </w:r>
          </w:p>
        </w:tc>
        <w:tc>
          <w:tcPr/>
          <w:p>
            <w:pPr>
              <w:pStyle w:val="Compact"/>
            </w:pPr>
            <w:r>
              <w:t xml:space="preserve">2026, KPBU Kemenkeu</w:t>
            </w:r>
          </w:p>
        </w:tc>
      </w:tr>
      <w:tr>
        <w:tc>
          <w:tcPr/>
          <w:p>
            <w:pPr>
              <w:pStyle w:val="Compact"/>
            </w:pPr>
            <w:r>
              <w:t xml:space="preserve">Panjang</w:t>
            </w:r>
          </w:p>
        </w:tc>
        <w:tc>
          <w:tcPr/>
          <w:p>
            <w:pPr>
              <w:pStyle w:val="Compact"/>
            </w:pPr>
            <w:r>
              <w:t xml:space="preserve">83,67 km, 3 seksi</w:t>
            </w:r>
          </w:p>
        </w:tc>
        <w:tc>
          <w:tcPr/>
          <w:p>
            <w:pPr>
              <w:pStyle w:val="Compact"/>
            </w:pPr>
            <w:r>
              <w:t xml:space="preserve">2023–2026, Kemenkeu dan BPJT</w:t>
            </w:r>
          </w:p>
        </w:tc>
      </w:tr>
      <w:tr>
        <w:tc>
          <w:tcPr/>
          <w:p>
            <w:pPr>
              <w:pStyle w:val="Compact"/>
            </w:pPr>
            <w:r>
              <w:t xml:space="preserve">Seksi I</w:t>
            </w:r>
          </w:p>
        </w:tc>
        <w:tc>
          <w:tcPr/>
          <w:p>
            <w:pPr>
              <w:pStyle w:val="Compact"/>
            </w:pPr>
            <w:r>
              <w:t xml:space="preserve">Serang–Rangkasbitung, 26,50 km; diresmikan 16 November 2021, bertarif awal Desember 2021</w:t>
            </w:r>
          </w:p>
        </w:tc>
        <w:tc>
          <w:tcPr/>
          <w:p>
            <w:pPr>
              <w:pStyle w:val="Compact"/>
            </w:pPr>
            <w:r>
              <w:t xml:space="preserve">2021, empat pemberitaan sezaman</w:t>
            </w:r>
          </w:p>
        </w:tc>
      </w:tr>
      <w:tr>
        <w:tc>
          <w:tcPr/>
          <w:p>
            <w:pPr>
              <w:pStyle w:val="Compact"/>
            </w:pPr>
            <w:r>
              <w:t xml:space="preserve">Seksi II</w:t>
            </w:r>
          </w:p>
        </w:tc>
        <w:tc>
          <w:tcPr/>
          <w:p>
            <w:pPr>
              <w:pStyle w:val="Compact"/>
            </w:pPr>
            <w:r>
              <w:t xml:space="preserve">Rangkasbitung–Cileles, 24,17 km; progres dilaporkan mendekati 98%, fungsional tanpa tarif</w:t>
            </w:r>
          </w:p>
        </w:tc>
        <w:tc>
          <w:tcPr/>
          <w:p>
            <w:pPr>
              <w:pStyle w:val="Compact"/>
            </w:pPr>
            <w:r>
              <w:t xml:space="preserve">awal 2026, cuplikan pemberitaan resmi (indikatif, perlu konfirmasi)</w:t>
            </w:r>
          </w:p>
        </w:tc>
      </w:tr>
      <w:tr>
        <w:tc>
          <w:tcPr/>
          <w:p>
            <w:pPr>
              <w:pStyle w:val="Compact"/>
            </w:pPr>
            <w:r>
              <w:t xml:space="preserve">Seksi III</w:t>
            </w:r>
          </w:p>
        </w:tc>
        <w:tc>
          <w:tcPr/>
          <w:p>
            <w:pPr>
              <w:pStyle w:val="Compact"/>
            </w:pPr>
            <w:r>
              <w:t xml:space="preserve">Cileles–Panimbang, 33 km; progres 91% pada data terakhir yang ditemukan</w:t>
            </w:r>
          </w:p>
        </w:tc>
        <w:tc>
          <w:tcPr/>
          <w:p>
            <w:pPr>
              <w:pStyle w:val="Compact"/>
            </w:pPr>
            <w:r>
              <w:t xml:space="preserve">April 2025, Kementerian PU</w:t>
            </w:r>
          </w:p>
        </w:tc>
      </w:tr>
      <w:tr>
        <w:tc>
          <w:tcPr/>
          <w:p>
            <w:pPr>
              <w:pStyle w:val="Compact"/>
            </w:pPr>
            <w:r>
              <w:t xml:space="preserve">Dukungan kelayakan (VGF) dan data lalu lintas (LHR)</w:t>
            </w:r>
          </w:p>
        </w:tc>
        <w:tc>
          <w:tcPr/>
          <w:p>
            <w:pPr>
              <w:pStyle w:val="Compact"/>
            </w:pPr>
            <w:r>
              <w:t xml:space="preserve">Tidak dipublikasikan di sumber yang diakses</w:t>
            </w:r>
          </w:p>
        </w:tc>
        <w:tc>
          <w:tcPr/>
          <w:p>
            <w:pPr>
              <w:pStyle w:val="Compact"/>
            </w:pPr>
            <w:r>
              <w:t xml:space="preserve">—</w:t>
            </w:r>
          </w:p>
        </w:tc>
      </w:tr>
    </w:tbl>
    <w:p>
      <w:pPr>
        <w:pStyle w:val="BodyText"/>
      </w:pPr>
      <w:r>
        <w:t xml:space="preserve">Baris terakhir itu penting. Angka dukungan kelayakan maupun proyeksi dan realisasi lalu lintas harian rata-rata (LHR) dicari di tujuh titik akses kanal Kemenkeu dan Kementerian PU, tanpa hasil. Itu bukan berarti datanya tidak ada, dan bukan indikasi proyeknya gagal; basis data internal pengelola tol tidak diperiksa.</w:t>
      </w:r>
    </w:p>
    <w:p>
      <w:pPr>
        <w:pStyle w:val="BodyText"/>
      </w:pPr>
      <w:r>
        <w:t xml:space="preserve">Konsekuensinya jelas: baru Seksi I, 26,50 km dari 83,67 km (sekitar 32% koridor), yang dipastikan bertarif sejak akhir 2021. Status</w:t>
      </w:r>
      <w:r>
        <w:t xml:space="preserve"> </w:t>
      </w:r>
      <w:r>
        <w:t xml:space="preserve">“Operasi”</w:t>
      </w:r>
      <w:r>
        <w:t xml:space="preserve"> </w:t>
      </w:r>
      <w:r>
        <w:t xml:space="preserve">di portal Kemenkeu sebaiknya dibaca sebagai penanda administratif bahwa pendapatan mulai mengalir, bukan bahwa koridor tersambung.</w:t>
      </w:r>
    </w:p>
    <w:p>
      <w:pPr>
        <w:pStyle w:val="BodyText"/>
      </w:pPr>
      <w:r>
        <w:t xml:space="preserve">Menilai tesis permintaannya dari data hari ini belum adil: manfaat jaringan penuh menunggu jaringannya lengkap.</w:t>
      </w:r>
    </w:p>
    <w:bookmarkEnd w:id="22"/>
    <w:bookmarkStart w:id="25" w:name="Xf1bac54adfbc5fef25a5f42c4e57f4e1995cd17"/>
    <w:p>
      <w:pPr>
        <w:pStyle w:val="Heading2"/>
      </w:pPr>
      <w:r>
        <w:t xml:space="preserve">Apa yang bisa dilakukan ketika permintaan berisiko meleset?</w:t>
      </w:r>
    </w:p>
    <w:p>
      <w:pPr>
        <w:pStyle w:val="FirstParagraph"/>
      </w:pPr>
      <w:r>
        <w:t xml:space="preserve">Regulasi Indonesia menyediakan beberapa jalan: dukungan kelayakan berupa kontribusi tunai atas sebagian biaya konstruksi, penyesuaian masa konsesi, pembukaan bertahap per seksi agar arus kas mulai lebih awal, serta pembayaran ketersediaan layanan sejak kontrak dirancang. Semuanya memindahkan beban risiko, bukan menghapusnya, dan punya harga fiskal sendiri.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w:t>
            </w:r>
          </w:p>
        </w:tc>
        <w:tc>
          <w:tcPr/>
          <w:p>
            <w:pPr>
              <w:pStyle w:val="Compact"/>
            </w:pPr>
            <w:r>
              <w:t xml:space="preserve">Cara kerja</w:t>
            </w:r>
          </w:p>
        </w:tc>
        <w:tc>
          <w:tcPr/>
          <w:p>
            <w:pPr>
              <w:pStyle w:val="Compact"/>
            </w:pPr>
            <w:r>
              <w:t xml:space="preserve">Batas dan konsekuensinya</w:t>
            </w:r>
          </w:p>
        </w:tc>
      </w:tr>
      <w:tr>
        <w:tc>
          <w:tcPr/>
          <w:p>
            <w:pPr>
              <w:pStyle w:val="Compact"/>
            </w:pPr>
            <w:r>
              <w:t xml:space="preserve">Dukungan kelayakan (</w:t>
            </w:r>
            <w:r>
              <w:rPr>
                <w:i/>
                <w:iCs/>
              </w:rPr>
              <w:t xml:space="preserve">viability gap fund</w:t>
            </w:r>
            <w:r>
              <w:t xml:space="preserve">/VGF)</w:t>
            </w:r>
          </w:p>
        </w:tc>
        <w:tc>
          <w:tcPr/>
          <w:p>
            <w:pPr>
              <w:pStyle w:val="Compact"/>
            </w:pPr>
            <w:r>
              <w:t xml:space="preserve">Kontribusi tunai sebagian biaya konstruksi proyek layak ekonomi tetapi belum layak finansial; minimal Rp 100 miliar (indikatif 2026)</w:t>
            </w:r>
          </w:p>
        </w:tc>
        <w:tc>
          <w:tcPr/>
          <w:p>
            <w:pPr>
              <w:pStyle w:val="Compact"/>
            </w:pPr>
            <w:r>
              <w:t xml:space="preserve">Hanya bila tak ada alternatif; membebani anggaran di muka</w:t>
            </w:r>
          </w:p>
        </w:tc>
      </w:tr>
      <w:tr>
        <w:tc>
          <w:tcPr/>
          <w:p>
            <w:pPr>
              <w:pStyle w:val="Compact"/>
            </w:pPr>
            <w:r>
              <w:t xml:space="preserve">Penyesuaian masa konsesi</w:t>
            </w:r>
          </w:p>
        </w:tc>
        <w:tc>
          <w:tcPr/>
          <w:p>
            <w:pPr>
              <w:pStyle w:val="Compact"/>
            </w:pPr>
            <w:r>
              <w:t xml:space="preserve">Menambah waktu pemulihan investasi bila realisasi pendapatan di bawah proyeksi</w:t>
            </w:r>
          </w:p>
        </w:tc>
        <w:tc>
          <w:tcPr/>
          <w:p>
            <w:pPr>
              <w:pStyle w:val="Compact"/>
            </w:pPr>
            <w:r>
              <w:t xml:space="preserve">Tanpa belanja langsung, tetapi menunda titik balik modal dan memperpanjang masa pengguna membayar tarif</w:t>
            </w:r>
          </w:p>
        </w:tc>
      </w:tr>
      <w:tr>
        <w:tc>
          <w:tcPr/>
          <w:p>
            <w:pPr>
              <w:pStyle w:val="Compact"/>
            </w:pPr>
            <w:r>
              <w:t xml:space="preserve">Pembukaan bertahap per seksi</w:t>
            </w:r>
          </w:p>
        </w:tc>
        <w:tc>
          <w:tcPr/>
          <w:p>
            <w:pPr>
              <w:pStyle w:val="Compact"/>
            </w:pPr>
            <w:r>
              <w:t xml:space="preserve">Memungut tarif pada seksi yang selesai tanpa menunggu koridor tersambung</w:t>
            </w:r>
          </w:p>
        </w:tc>
        <w:tc>
          <w:tcPr/>
          <w:p>
            <w:pPr>
              <w:pStyle w:val="Compact"/>
            </w:pPr>
            <w:r>
              <w:t xml:space="preserve">Arus kas lebih awal, tetapi volumenya belum mencerminkan manfaat jaringan penuh</w:t>
            </w:r>
          </w:p>
        </w:tc>
      </w:tr>
      <w:tr>
        <w:tc>
          <w:tcPr/>
          <w:p>
            <w:pPr>
              <w:pStyle w:val="Compact"/>
            </w:pPr>
            <w:r>
              <w:t xml:space="preserve">Pembayaran ketersediaan layanan (PMK 260/PMK.08/2016)</w:t>
            </w:r>
          </w:p>
        </w:tc>
        <w:tc>
          <w:tcPr/>
          <w:p>
            <w:pPr>
              <w:pStyle w:val="Compact"/>
            </w:pPr>
            <w:r>
              <w:t xml:space="preserve">Memindahkan risiko pendapatan ke pemerintah sejak kontrak dirancang</w:t>
            </w:r>
          </w:p>
        </w:tc>
        <w:tc>
          <w:tcPr/>
          <w:p>
            <w:pPr>
              <w:pStyle w:val="Compact"/>
            </w:pPr>
            <w:r>
              <w:t xml:space="preserve">PJPK menanggung kewajiban berkala jangka panjang terlepas dari volume pemanfaatan</w:t>
            </w:r>
          </w:p>
        </w:tc>
      </w:tr>
    </w:tbl>
    <w:p>
      <w:pPr>
        <w:pStyle w:val="BodyText"/>
      </w:pPr>
      <w:r>
        <w:t xml:space="preserve">Dukungan kelayakan sering disalahpahami sebagai insentif penarik investor.</w:t>
      </w:r>
      <w:r>
        <w:t xml:space="preserve"> </w:t>
      </w:r>
      <w:hyperlink r:id="rId23">
        <w:r>
          <w:rPr>
            <w:rStyle w:val="Hyperlink"/>
          </w:rPr>
          <w:t xml:space="preserve">Definisi resmi Kementerian Keuangan</w:t>
        </w:r>
      </w:hyperlink>
      <w:r>
        <w:t xml:space="preserve"> </w:t>
      </w:r>
      <w:r>
        <w:t xml:space="preserve">lebih spesifik: mewujudkan layanan publik dengan tarif terjangkau, dan instrumen ini baru diberikan</w:t>
      </w:r>
      <w:r>
        <w:t xml:space="preserve"> </w:t>
      </w:r>
      <w:r>
        <w:t xml:space="preserve">“setelah tidak terdapat lagi alternatif lain”</w:t>
      </w:r>
      <w:r>
        <w:t xml:space="preserve"> </w:t>
      </w:r>
      <w:r>
        <w:t xml:space="preserve">(diakses 2026). Padanan internasionalnya: subsidi belanja modal di muka atau jaminan pendapatan minimum.</w:t>
      </w:r>
    </w:p>
    <w:p>
      <w:pPr>
        <w:pStyle w:val="BodyText"/>
      </w:pPr>
      <w:r>
        <w:t xml:space="preserve">Memilih di antaranya adalah inti strukturisasi proyek, dan salah satu materi terberat dalam kurikulum</w:t>
      </w:r>
      <w:r>
        <w:t xml:space="preserve"> </w:t>
      </w:r>
      <w:hyperlink r:id="rId24">
        <w:r>
          <w:rPr>
            <w:rStyle w:val="Hyperlink"/>
          </w:rPr>
          <w:t xml:space="preserve">sertifikasi KPBU</w:t>
        </w:r>
      </w:hyperlink>
      <w:r>
        <w:t xml:space="preserve"> </w:t>
      </w:r>
      <w:r>
        <w:t xml:space="preserve">yang dibangun di atas kerangka PPP internasional.</w:t>
      </w:r>
    </w:p>
    <w:bookmarkEnd w:id="25"/>
    <w:bookmarkStart w:id="27" w:name="X9d412816dc328353fbfbe2ceb53bde8fbd8ac30"/>
    <w:p>
      <w:pPr>
        <w:pStyle w:val="Heading2"/>
      </w:pPr>
      <w:r>
        <w:t xml:space="preserve">Proyeksi yang meleset belum tentu proyeksi yang buruk</w:t>
      </w:r>
    </w:p>
    <w:p>
      <w:pPr>
        <w:pStyle w:val="FirstParagraph"/>
      </w:pPr>
      <w:r>
        <w:t xml:space="preserve">Proyeksi lalu lintas adalah pernyataan bersyarat, bukan janji. Tinjauan World Bank Group</w:t>
      </w:r>
      <w:r>
        <w:t xml:space="preserve"> </w:t>
      </w:r>
      <w:hyperlink r:id="rId26">
        <w:r>
          <w:rPr>
            <w:rStyle w:val="Hyperlink"/>
            <w:i/>
            <w:iCs/>
          </w:rPr>
          <w:t xml:space="preserve">Toll Road PPPs: Identifying, Mitigating and Managing Traffic Risk</w:t>
        </w:r>
      </w:hyperlink>
      <w:r>
        <w:t xml:space="preserve"> </w:t>
      </w:r>
      <w:r>
        <w:t xml:space="preserve">menyebut sejarah KPBU jalan tol di banyak negara berulang kali menunjukkan peramalan lalu lintas dan pendapatan yang meleset dari realisasi. Selisih proyeksi dan angka nyata perlu didiagnosis, bukan langsung dibaca sebagai kegagalan.</w:t>
      </w:r>
    </w:p>
    <w:p>
      <w:pPr>
        <w:pStyle w:val="BodyText"/>
      </w:pPr>
      <w:r>
        <w:t xml:space="preserve">Ada tiga kemungkinan yang sebaiknya tidak disamaratakan:</w:t>
      </w:r>
    </w:p>
    <w:p>
      <w:pPr>
        <w:pStyle w:val="Compact"/>
        <w:numPr>
          <w:ilvl w:val="0"/>
          <w:numId w:val="1002"/>
        </w:numPr>
      </w:pPr>
      <w:r>
        <w:rPr>
          <w:b/>
          <w:bCs/>
        </w:rPr>
        <w:t xml:space="preserve">Metodologi lemah.</w:t>
      </w:r>
      <w:r>
        <w:t xml:space="preserve"> </w:t>
      </w:r>
      <w:r>
        <w:t xml:space="preserve">Asumsi pertumbuhan tanpa skenario alternatif, atau survei pengalihan arus terlalu sempit.</w:t>
      </w:r>
    </w:p>
    <w:p>
      <w:pPr>
        <w:pStyle w:val="Compact"/>
        <w:numPr>
          <w:ilvl w:val="0"/>
          <w:numId w:val="1002"/>
        </w:numPr>
      </w:pPr>
      <w:r>
        <w:rPr>
          <w:b/>
          <w:bCs/>
        </w:rPr>
        <w:t xml:space="preserve">Asumsi wajar, kondisi berubah.</w:t>
      </w:r>
      <w:r>
        <w:t xml:space="preserve"> </w:t>
      </w:r>
      <w:r>
        <w:t xml:space="preserve">Kawasan tertunda, pola perjalanan bergeser, atau pilihan moda berubah setelah kontrak berjalan.</w:t>
      </w:r>
    </w:p>
    <w:p>
      <w:pPr>
        <w:pStyle w:val="Compact"/>
        <w:numPr>
          <w:ilvl w:val="0"/>
          <w:numId w:val="1002"/>
        </w:numPr>
      </w:pPr>
      <w:r>
        <w:rPr>
          <w:b/>
          <w:bCs/>
        </w:rPr>
        <w:t xml:space="preserve">Arus kas tipis, manfaat ekonomi nyata.</w:t>
      </w:r>
      <w:r>
        <w:t xml:space="preserve"> </w:t>
      </w:r>
      <w:r>
        <w:t xml:space="preserve">Kelayakan ekonomi dan finansial dua hitungan berbeda; celahnya justru alasan adanya dukungan kelayakan.</w:t>
      </w:r>
    </w:p>
    <w:p>
      <w:pPr>
        <w:pStyle w:val="FirstParagraph"/>
      </w:pPr>
      <w:r>
        <w:t xml:space="preserve">Satu hal perlu dipisahkan dengan tegas. Target penyelesaian koridor Serang–Panimbang bergeser beberapa kali, dari pertengahan 2024 ke 2025, lalu ke akhir 2026 menurut pemberitaan Kementerian PU (April 2025). Pergeseran itu soal risiko konstruksi dan pembebasan lahan, bukan risiko permintaan. Menyamakan keduanya menghasilkan diagnosis salah.</w:t>
      </w:r>
    </w:p>
    <w:p>
      <w:pPr>
        <w:pStyle w:val="BodyText"/>
      </w:pPr>
      <w:r>
        <w:t xml:space="preserve">Kontrak 40 tahun menghitung arus kas empat dekade; kinerja tahun awal, saat jaringan belum lengkap, hampir selalu di bawah kurva rata-ratanya.</w:t>
      </w:r>
    </w:p>
    <w:bookmarkEnd w:id="27"/>
    <w:bookmarkStart w:id="33" w:name="faq-pertanyaan-yang-sering-diajukan"/>
    <w:p>
      <w:pPr>
        <w:pStyle w:val="Heading2"/>
      </w:pPr>
      <w:r>
        <w:t xml:space="preserve">FAQ (Pertanyaan yang Sering Diajukan)</w:t>
      </w:r>
    </w:p>
    <w:bookmarkStart w:id="28" w:name="X7a96f0280d077a51bb0698d9538e0aa48d68fa3"/>
    <w:p>
      <w:pPr>
        <w:pStyle w:val="Heading3"/>
      </w:pPr>
      <w:r>
        <w:t xml:space="preserve">Siapa yang menanggung risiko permintaan pada proyek jalan tol?</w:t>
      </w:r>
    </w:p>
    <w:p>
      <w:pPr>
        <w:pStyle w:val="FirstParagraph"/>
      </w:pPr>
      <w:r>
        <w:t xml:space="preserve">Pada skema tarif pengguna, badan usaha pelaksana yang menanggungnya, karena pendapatannya naik-turun mengikuti volume kendaraan riil. Jalan Tol Serang–Panimbang memakai skema tarif itu (portal KPBU Kemenkeu, 2026). Ini berbeda dari</w:t>
      </w:r>
      <w:r>
        <w:t xml:space="preserve"> </w:t>
      </w:r>
      <w:r>
        <w:rPr>
          <w:i/>
          <w:iCs/>
        </w:rPr>
        <w:t xml:space="preserve">availability payment</w:t>
      </w:r>
      <w:r>
        <w:t xml:space="preserve">, yang menurut definisi resmi Kementerian Keuangan justru</w:t>
      </w:r>
      <w:r>
        <w:t xml:space="preserve"> </w:t>
      </w:r>
      <w:r>
        <w:t xml:space="preserve">“mengalokasikan risiko pendapatan proyek ke pihak pemerintah”</w:t>
      </w:r>
      <w:r>
        <w:t xml:space="preserve"> </w:t>
      </w:r>
      <w:r>
        <w:t xml:space="preserve">(diakses 2026).</w:t>
      </w:r>
    </w:p>
    <w:bookmarkEnd w:id="28"/>
    <w:bookmarkStart w:id="29" w:name="Xbd00d7e2702c1c6cda39a053af96b48c6ccaca2"/>
    <w:p>
      <w:pPr>
        <w:pStyle w:val="Heading3"/>
      </w:pPr>
      <w:r>
        <w:t xml:space="preserve">Apa perbedaan availability payment dan user pay?</w:t>
      </w:r>
    </w:p>
    <w:p>
      <w:pPr>
        <w:pStyle w:val="FirstParagraph"/>
      </w:pPr>
      <w:r>
        <w:t xml:space="preserve">Pada</w:t>
      </w:r>
      <w:r>
        <w:t xml:space="preserve"> </w:t>
      </w:r>
      <w:r>
        <w:rPr>
          <w:i/>
          <w:iCs/>
        </w:rPr>
        <w:t xml:space="preserve">user pays</w:t>
      </w:r>
      <w:r>
        <w:t xml:space="preserve">, badan usaha memulihkan investasinya dari tarif pengguna, seperti Jalan Tol Serang–Panimbang. Pada</w:t>
      </w:r>
      <w:r>
        <w:t xml:space="preserve"> </w:t>
      </w:r>
      <w:r>
        <w:rPr>
          <w:i/>
          <w:iCs/>
        </w:rPr>
        <w:t xml:space="preserve">availability payment</w:t>
      </w:r>
      <w:r>
        <w:t xml:space="preserve"> </w:t>
      </w:r>
      <w:r>
        <w:t xml:space="preserve">(PMK 260/PMK.08/2016), PJPK membayar berkala selama kriteria ketersediaan layanan terpenuhi. Skema kedua dipakai ketika ketersediaan lebih penting daripada volume pemanfaatan, misalnya fasilitas kesehatan.</w:t>
      </w:r>
    </w:p>
    <w:bookmarkEnd w:id="29"/>
    <w:bookmarkStart w:id="30" w:name="Xa1f868de26f3a830cc402125aa7bcb2d909f50c"/>
    <w:p>
      <w:pPr>
        <w:pStyle w:val="Heading3"/>
      </w:pPr>
      <w:r>
        <w:t xml:space="preserve">Apa itu dukungan kelayakan (VGF), dan apakah ia menghapus risiko permintaan?</w:t>
      </w:r>
    </w:p>
    <w:p>
      <w:pPr>
        <w:pStyle w:val="FirstParagraph"/>
      </w:pPr>
      <w:r>
        <w:t xml:space="preserve">Dukungan kelayakan adalah kontribusi tunai atas sebagian biaya konstruksi bagi proyek KPBU yang layak secara ekonomi tetapi belum layak secara finansial; ambang minimum nilai investasinya Rp 100 miliar (indikatif 2026) dan skemanya tetap berbasis tarif pengguna. Tujuannya menjaga tarif tetap terjangkau. Instrumen ini memperkecil beban investasi awal, bukan menghapus risiko permintaan: volume pengguna tetap menentukan pendapatan.</w:t>
      </w:r>
    </w:p>
    <w:bookmarkEnd w:id="30"/>
    <w:bookmarkStart w:id="31" w:name="Xbff731709be68111cd8868362d685f9bd3ad512"/>
    <w:p>
      <w:pPr>
        <w:pStyle w:val="Heading3"/>
      </w:pPr>
      <w:r>
        <w:t xml:space="preserve">Mengapa jalan tol dibuka bertahap per seksi?</w:t>
      </w:r>
    </w:p>
    <w:p>
      <w:pPr>
        <w:pStyle w:val="FirstParagraph"/>
      </w:pPr>
      <w:r>
        <w:t xml:space="preserve">Agar arus kas mulai mengalir dari seksi yang selesai tanpa menunggu koridor tersambung penuh. Pada Jalan Tol Serang–Panimbang, Seksi I (26,50 km) diresmikan 16 November 2021 dan bertarif sejak awal Desember 2021, sementara seksi berikutnya baru menyusul bertahun-tahun kemudian. Konsekuensinya, volume pada seksi awal belum mencerminkan manfaat jaringan penuh.</w:t>
      </w:r>
    </w:p>
    <w:bookmarkEnd w:id="31"/>
    <w:bookmarkStart w:id="32" w:name="X4125aa00e46bcd77cb710a2db608fcc45bf655d"/>
    <w:p>
      <w:pPr>
        <w:pStyle w:val="Heading3"/>
      </w:pPr>
      <w:r>
        <w:t xml:space="preserve">Apakah proyeksi lalu lintas yang meleset berarti proyeknya gagal?</w:t>
      </w:r>
    </w:p>
    <w:p>
      <w:pPr>
        <w:pStyle w:val="FirstParagraph"/>
      </w:pPr>
      <w:r>
        <w:t xml:space="preserve">Tidak selalu. Proyeksi adalah pernyataan bersyarat atas asumsi pertumbuhan kawasan, dan World Bank Group mencatat riwayat peramalan lalu lintas KPBU jalan tol yang berulang kali meleset. Sumbernya bisa metodologi lemah, kondisi eksternal yang berubah, atau manfaat ekonomi yang nyata meski arus kas tipis.</w:t>
      </w:r>
    </w:p>
    <w:bookmarkEnd w:id="32"/>
    <w:bookmarkEnd w:id="33"/>
    <w:bookmarkStart w:id="34" w:name="kesimpulan"/>
    <w:p>
      <w:pPr>
        <w:pStyle w:val="Heading2"/>
      </w:pPr>
      <w:r>
        <w:t xml:space="preserve">Kesimpulan</w:t>
      </w:r>
    </w:p>
    <w:p>
      <w:pPr>
        <w:pStyle w:val="FirstParagraph"/>
      </w:pPr>
      <w:r>
        <w:t xml:space="preserve">Bagian tersulit dari risiko permintaan bukan menghitungnya, melainkan mengevaluasinya setelah proyek berjalan. Studi kasus proyek infrastruktur di Indonesia ini menunjukkan celahnya: angka dukungan kelayakan dan data lalu lintas tidak tersedia di kanal publik yang diakses, sehingga membandingkan proyeksi dengan realisasi hampir mustahil dari luar. IIGF Institute, unit manajemen pengetahuan PT PII di bidang KPBU, menjembatani praktik penjaminan infrastruktur dengan dunia akademik;</w:t>
      </w:r>
      <w:r>
        <w:t xml:space="preserve"> </w:t>
      </w:r>
      <w:r>
        <w:rPr>
          <w:i/>
          <w:iCs/>
        </w:rPr>
        <w:t xml:space="preserve">Journal of Infrastructure Policy and Management</w:t>
      </w:r>
      <w:r>
        <w:t xml:space="preserve"> </w:t>
      </w:r>
      <w:r>
        <w:t xml:space="preserve">(JIPM) yang diterbitkannya adalah salah satu wadah bagi kajian evaluasi semacam itu.</w:t>
      </w:r>
    </w:p>
    <w:p>
      <w:pPr>
        <w:pStyle w:val="BodyText"/>
      </w:pPr>
      <w:r>
        <w:t xml:space="preserve">Pembaca yang ingin mendalami evaluasi risiko permintaan bisa mulai dari kajian kebijakan dan materi pembelajaran KPBU di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institute.iigf.co.id/" TargetMode="External" /><Relationship Type="http://schemas.openxmlformats.org/officeDocument/2006/relationships/hyperlink" Id="rId19"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1" Target="https://kpbu.kemenkeu.go.id/proyek/detail/117-jalan-tol-serang-panimbang" TargetMode="External" /><Relationship Type="http://schemas.openxmlformats.org/officeDocument/2006/relationships/hyperlink" Id="rId23" Target="https://kpbu.kemenkeu.go.id/read/37-40/pjpk/dukungan-pemerintah/dukungan-kelayakan" TargetMode="External" /><Relationship Type="http://schemas.openxmlformats.org/officeDocument/2006/relationships/hyperlink" Id="rId26" Target="https://ppp.worldbank.org/library/toll-road-ppps-identifying-mitigating-and-managing-traffic-risk" TargetMode="External" /></Relationships>
</file>

<file path=word/_rels/footnotes.xml.rels><?xml version="1.0" encoding="UTF-8"?><Relationships xmlns="http://schemas.openxmlformats.org/package/2006/relationships"><Relationship Type="http://schemas.openxmlformats.org/officeDocument/2006/relationships/hyperlink" Id="rId24" Target="https://institute.iigf.co.id/" TargetMode="External" /><Relationship Type="http://schemas.openxmlformats.org/officeDocument/2006/relationships/hyperlink" Id="rId19"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21" Target="https://kpbu.kemenkeu.go.id/proyek/detail/117-jalan-tol-serang-panimbang" TargetMode="External" /><Relationship Type="http://schemas.openxmlformats.org/officeDocument/2006/relationships/hyperlink" Id="rId23" Target="https://kpbu.kemenkeu.go.id/read/37-40/pjpk/dukungan-pemerintah/dukungan-kelayakan" TargetMode="External" /><Relationship Type="http://schemas.openxmlformats.org/officeDocument/2006/relationships/hyperlink" Id="rId26" Target="https://ppp.worldbank.org/library/toll-road-ppps-identifying-mitigating-and-managing-traffic-ri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2026-09-21T23:58:48Z</dcterms:created>
  <dcterms:modified xsi:type="dcterms:W3CDTF">2026-09-21T23:58:48Z</dcterms:modified>
</cp:coreProperties>
</file>

<file path=docProps/custom.xml><?xml version="1.0" encoding="utf-8"?>
<Properties xmlns="http://schemas.openxmlformats.org/officeDocument/2006/custom-properties" xmlns:vt="http://schemas.openxmlformats.org/officeDocument/2006/docPropsVTypes"/>
</file>