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"Jaminan Pemerintah vs Dukungan Pemerintah dalam KPBU: Apa Bedanya?"</w:t>
      </w:r>
      <w:r>
        <w:br/>
      </w:r>
      <w:r>
        <w:rPr>
          <w:rStyle w:val="FunctionTok"/>
        </w:rPr>
        <w:t xml:space="preserve">meta_title</w:t>
      </w:r>
      <w:r>
        <w:rPr>
          <w:rStyle w:val="KeywordTok"/>
        </w:rPr>
        <w:t xml:space="preserve">:</w:t>
      </w:r>
      <w:r>
        <w:rPr>
          <w:rStyle w:val="AttributeTok"/>
        </w:rPr>
        <w:t xml:space="preserve"> </w:t>
      </w:r>
      <w:r>
        <w:rPr>
          <w:rStyle w:val="StringTok"/>
        </w:rPr>
        <w:t xml:space="preserve">"Jaminan Pemerintah vs Dukungan Pemerintah di KPBU"</w:t>
      </w:r>
      <w:r>
        <w:br/>
      </w:r>
      <w:r>
        <w:rPr>
          <w:rStyle w:val="FunctionTok"/>
        </w:rPr>
        <w:t xml:space="preserve">meta_description</w:t>
      </w:r>
      <w:r>
        <w:rPr>
          <w:rStyle w:val="KeywordTok"/>
        </w:rPr>
        <w:t xml:space="preserve">:</w:t>
      </w:r>
      <w:r>
        <w:rPr>
          <w:rStyle w:val="AttributeTok"/>
        </w:rPr>
        <w:t xml:space="preserve"> </w:t>
      </w:r>
      <w:r>
        <w:rPr>
          <w:rStyle w:val="StringTok"/>
        </w:rPr>
        <w:t xml:space="preserve">"Jaminan Pemerintah, VGF, Availability Payment, dan penjaminan pinjaman langsung dalam proyek KPBU: tabel pembanding, dasar hukum terkini, dan uji kontinjensi."</w:t>
      </w:r>
      <w:r>
        <w:br/>
      </w:r>
      <w:r>
        <w:rPr>
          <w:rStyle w:val="FunctionTok"/>
        </w:rPr>
        <w:t xml:space="preserve">slug</w:t>
      </w:r>
      <w:r>
        <w:rPr>
          <w:rStyle w:val="KeywordTok"/>
        </w:rPr>
        <w:t xml:space="preserve">:</w:t>
      </w:r>
      <w:r>
        <w:rPr>
          <w:rStyle w:val="AttributeTok"/>
        </w:rPr>
        <w:t xml:space="preserve"> </w:t>
      </w:r>
      <w:r>
        <w:rPr>
          <w:rStyle w:val="StringTok"/>
        </w:rPr>
        <w:t xml:space="preserve">"jaminan-pemerintah-vs-dukungan-pemerintah-kpbu"</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"Jaminan Pemerintah"</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"dukungan pemerintah"</w:t>
      </w:r>
      <w:r>
        <w:br/>
      </w:r>
      <w:r>
        <w:rPr>
          <w:rStyle w:val="AttributeTok"/>
        </w:rPr>
        <w:t xml:space="preserve">  </w:t>
      </w:r>
      <w:r>
        <w:rPr>
          <w:rStyle w:val="KeywordTok"/>
        </w:rPr>
        <w:t xml:space="preserve">-</w:t>
      </w:r>
      <w:r>
        <w:rPr>
          <w:rStyle w:val="AttributeTok"/>
        </w:rPr>
        <w:t xml:space="preserve"> </w:t>
      </w:r>
      <w:r>
        <w:rPr>
          <w:rStyle w:val="StringTok"/>
        </w:rPr>
        <w:t xml:space="preserve">"Dukungan Kelayakan (VGF)"</w:t>
      </w:r>
      <w:r>
        <w:br/>
      </w:r>
      <w:r>
        <w:rPr>
          <w:rStyle w:val="AttributeTok"/>
        </w:rPr>
        <w:t xml:space="preserve">  </w:t>
      </w:r>
      <w:r>
        <w:rPr>
          <w:rStyle w:val="KeywordTok"/>
        </w:rPr>
        <w:t xml:space="preserve">-</w:t>
      </w:r>
      <w:r>
        <w:rPr>
          <w:rStyle w:val="AttributeTok"/>
        </w:rPr>
        <w:t xml:space="preserve"> </w:t>
      </w:r>
      <w:r>
        <w:rPr>
          <w:rStyle w:val="StringTok"/>
        </w:rPr>
        <w:t xml:space="preserve">"Availability Payment"</w:t>
      </w:r>
      <w:r>
        <w:br/>
      </w:r>
      <w:r>
        <w:rPr>
          <w:rStyle w:val="AttributeTok"/>
        </w:rPr>
        <w:t xml:space="preserve">  </w:t>
      </w:r>
      <w:r>
        <w:rPr>
          <w:rStyle w:val="KeywordTok"/>
        </w:rPr>
        <w:t xml:space="preserve">-</w:t>
      </w:r>
      <w:r>
        <w:rPr>
          <w:rStyle w:val="AttributeTok"/>
        </w:rPr>
        <w:t xml:space="preserve"> </w:t>
      </w:r>
      <w:r>
        <w:rPr>
          <w:rStyle w:val="StringTok"/>
        </w:rPr>
        <w:t xml:space="preserve">"penjaminan infrastruktur"</w:t>
      </w:r>
      <w:r>
        <w:br/>
      </w:r>
      <w:r>
        <w:rPr>
          <w:rStyle w:val="AttributeTok"/>
        </w:rPr>
        <w:t xml:space="preserve">  </w:t>
      </w:r>
      <w:r>
        <w:rPr>
          <w:rStyle w:val="KeywordTok"/>
        </w:rPr>
        <w:t xml:space="preserve">-</w:t>
      </w:r>
      <w:r>
        <w:rPr>
          <w:rStyle w:val="AttributeTok"/>
        </w:rPr>
        <w:t xml:space="preserve"> </w:t>
      </w:r>
      <w:r>
        <w:rPr>
          <w:rStyle w:val="StringTok"/>
        </w:rPr>
        <w:t xml:space="preserve">"penjaminan pinjaman langsung"</w:t>
      </w:r>
      <w:r>
        <w:br/>
      </w:r>
      <w:r>
        <w:rPr>
          <w:rStyle w:val="AttributeTok"/>
        </w:rPr>
        <w:t xml:space="preserve">  </w:t>
      </w:r>
      <w:r>
        <w:rPr>
          <w:rStyle w:val="KeywordTok"/>
        </w:rPr>
        <w:t xml:space="preserve">-</w:t>
      </w:r>
      <w:r>
        <w:rPr>
          <w:rStyle w:val="AttributeTok"/>
        </w:rPr>
        <w:t xml:space="preserve"> </w:t>
      </w:r>
      <w:r>
        <w:rPr>
          <w:rStyle w:val="StringTok"/>
        </w:rPr>
        <w:t xml:space="preserve">"kewajiban kontinjensi"</w:t>
      </w:r>
      <w:r>
        <w:br/>
      </w:r>
      <w:r>
        <w:rPr>
          <w:rStyle w:val="AttributeTok"/>
        </w:rPr>
        <w:t xml:space="preserve">  </w:t>
      </w:r>
      <w:r>
        <w:rPr>
          <w:rStyle w:val="KeywordTok"/>
        </w:rPr>
        <w:t xml:space="preserve">-</w:t>
      </w:r>
      <w:r>
        <w:rPr>
          <w:rStyle w:val="AttributeTok"/>
        </w:rPr>
        <w:t xml:space="preserve"> </w:t>
      </w:r>
      <w:r>
        <w:rPr>
          <w:rStyle w:val="StringTok"/>
        </w:rPr>
        <w:t xml:space="preserve">"PJPK"</w:t>
      </w:r>
      <w:r>
        <w:br/>
      </w:r>
      <w:r>
        <w:rPr>
          <w:rStyle w:val="AttributeTok"/>
        </w:rPr>
        <w:t xml:space="preserve">  </w:t>
      </w:r>
      <w:r>
        <w:rPr>
          <w:rStyle w:val="KeywordTok"/>
        </w:rPr>
        <w:t xml:space="preserve">-</w:t>
      </w:r>
      <w:r>
        <w:rPr>
          <w:rStyle w:val="AttributeTok"/>
        </w:rPr>
        <w:t xml:space="preserve"> </w:t>
      </w:r>
      <w:r>
        <w:rPr>
          <w:rStyle w:val="StringTok"/>
        </w:rPr>
        <w:t xml:space="preserve">"KPBU"</w:t>
      </w:r>
      <w:r>
        <w:br/>
      </w:r>
      <w:r>
        <w:rPr>
          <w:rStyle w:val="AttributeTok"/>
        </w:rPr>
        <w:t xml:space="preserve">  </w:t>
      </w:r>
      <w:r>
        <w:rPr>
          <w:rStyle w:val="KeywordTok"/>
        </w:rPr>
        <w:t xml:space="preserve">-</w:t>
      </w:r>
      <w:r>
        <w:rPr>
          <w:rStyle w:val="AttributeTok"/>
        </w:rPr>
        <w:t xml:space="preserve"> </w:t>
      </w:r>
      <w:r>
        <w:rPr>
          <w:rStyle w:val="StringTok"/>
        </w:rPr>
        <w:t xml:space="preserve">"Perpres 78/2010"</w:t>
      </w:r>
      <w:r>
        <w:br/>
      </w:r>
      <w:r>
        <w:rPr>
          <w:rStyle w:val="AttributeTok"/>
        </w:rPr>
        <w:t xml:space="preserve">  </w:t>
      </w:r>
      <w:r>
        <w:rPr>
          <w:rStyle w:val="KeywordTok"/>
        </w:rPr>
        <w:t xml:space="preserve">-</w:t>
      </w:r>
      <w:r>
        <w:rPr>
          <w:rStyle w:val="AttributeTok"/>
        </w:rPr>
        <w:t xml:space="preserve"> </w:t>
      </w:r>
      <w:r>
        <w:rPr>
          <w:rStyle w:val="StringTok"/>
        </w:rPr>
        <w:t xml:space="preserve">"PMK 68 Tahun 2024"</w:t>
      </w:r>
      <w:r>
        <w:br/>
      </w:r>
      <w:r>
        <w:rPr>
          <w:rStyle w:val="AttributeTok"/>
        </w:rPr>
        <w:t xml:space="preserve">  </w:t>
      </w:r>
      <w:r>
        <w:rPr>
          <w:rStyle w:val="KeywordTok"/>
        </w:rPr>
        <w:t xml:space="preserve">-</w:t>
      </w:r>
      <w:r>
        <w:rPr>
          <w:rStyle w:val="AttributeTok"/>
        </w:rPr>
        <w:t xml:space="preserve"> </w:t>
      </w:r>
      <w:r>
        <w:rPr>
          <w:rStyle w:val="StringTok"/>
        </w:rPr>
        <w:t xml:space="preserve">"Badan Usaha Penjaminan Infrastruktur (BUPI)"</w:t>
      </w:r>
      <w:r>
        <w:br/>
      </w:r>
      <w:r>
        <w:rPr>
          <w:rStyle w:val="AttributeTok"/>
        </w:rPr>
        <w:t xml:space="preserve">  </w:t>
      </w:r>
      <w:r>
        <w:rPr>
          <w:rStyle w:val="KeywordTok"/>
        </w:rPr>
        <w:t xml:space="preserve">-</w:t>
      </w:r>
      <w:r>
        <w:rPr>
          <w:rStyle w:val="AttributeTok"/>
        </w:rPr>
        <w:t xml:space="preserve"> </w:t>
      </w:r>
      <w:r>
        <w:rPr>
          <w:rStyle w:val="StringTok"/>
        </w:rPr>
        <w:t xml:space="preserve">"financial close"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"jaminan pemerintah dalam skema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"skema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"kerangka public private partnership"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"https://kpbu.kemenkeu.go.id/read/64-64/pjpk/dukungan-pemerintah/penjaminan-infrastruktur"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penjaminan infrastruktur: jaminan atas kewajiban finansial PJPK"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"https://jdih.kemenkeu.go.id/dok/pmk-68-tahun-2024"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"PMK No. 68 Tahun 2024 sebagai aturan pelaksana terkini yang mengonsolidasikan penjaminan infrastruktur, VGF, dan Availability Payment"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"https://www.djkn.kemenkeu.go.id/artikel/baca/11077/Peran-PT-Penjaminan-Infrastruktur-Indonesia-Persero-Dalam-Meminimalisasi-Risiko-Fiskal-atas-Kewajiban-Kontinjensi-Pemerintah-Indonesia-yang-Timbul-dari-Proyek-Infrastruktur.html"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kewajiban kontinjensi versus kewajiban langsung (DJKN Kementerian Keuangan)"</w:t>
      </w:r>
      <w:r>
        <w:br/>
      </w:r>
      <w:r>
        <w:rPr>
          <w:rStyle w:val="FunctionTok"/>
        </w:rPr>
        <w:t xml:space="preserve">brief_id</w:t>
      </w:r>
      <w:r>
        <w:rPr>
          <w:rStyle w:val="KeywordTok"/>
        </w:rPr>
        <w:t xml:space="preserve">:</w:t>
      </w:r>
      <w:r>
        <w:rPr>
          <w:rStyle w:val="AttributeTok"/>
        </w:rPr>
        <w:t xml:space="preserve"> </w:t>
      </w:r>
      <w:r>
        <w:rPr>
          <w:rStyle w:val="StringTok"/>
        </w:rPr>
        <w:t xml:space="preserve">"jaminan-pemerintah-02"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1740</w:t>
      </w:r>
    </w:p>
    <w:p>
      <w:r>
        <w:pict>
          <v:rect style="width:0;height:1.5pt" o:hralign="center" o:hrstd="t" o:hr="t"/>
        </w:pict>
      </w:r>
    </w:p>
    <w:bookmarkEnd w:id="16"/>
    <w:bookmarkStart w:id="36" w:name="Xb1707bbfd975c022310bf0abad2b64f3ff21ae3"/>
    <w:p>
      <w:pPr>
        <w:pStyle w:val="Heading1"/>
      </w:pPr>
      <w:r>
        <w:t xml:space="preserve">Jaminan Pemerintah vs Dukungan Pemerintah dalam KPBU: Apa Bedanya?</w:t>
      </w:r>
    </w:p>
    <w:p>
      <w:pPr>
        <w:pStyle w:val="FirstParagraph"/>
      </w:pPr>
      <w:r>
        <w:t xml:space="preserve">Dalam satu rapat penyiapan proyek, tiga orang bisa menyebut</w:t>
      </w:r>
      <w:r>
        <w:t xml:space="preserve"> </w:t>
      </w:r>
      <w:r>
        <w:t xml:space="preserve">“dukungan pemerintah”</w:t>
      </w:r>
      <w:r>
        <w:t xml:space="preserve"> </w:t>
      </w:r>
      <w:r>
        <w:t xml:space="preserve">dan memaksudkan tiga hal berbeda: uang tunai penambal biaya konstruksi, pembayaran berkala atas layanan yang tersedia, atau janji membayar kompensasi bila pemerintah sendiri yang wanprestasi. Yang dibahas di sini adalah instrumen fiskal proyek infrastruktur: bukan jaminan sosial, bukan agunan dalam hukum jaminan kebendaan, bukan pula jaminan pelaksanaan pengadaan. Artikel ini menata empat instrumen yang paling sering tertukar dalam satu tabel pembanding, lalu menerapkan satu uji sederhana untuk memisahkan mana yang benar-benar</w:t>
      </w:r>
      <w:r>
        <w:t xml:space="preserve"> </w:t>
      </w:r>
      <w:hyperlink r:id="rId17">
        <w:r>
          <w:rPr>
            <w:rStyle w:val="Hyperlink"/>
          </w:rPr>
          <w:t xml:space="preserve">jaminan pemerintah dalam skema KPBU</w:t>
        </w:r>
      </w:hyperlink>
      <w:r>
        <w:t xml:space="preserve"> </w:t>
      </w:r>
      <w:r>
        <w:t xml:space="preserve">dan mana yang sebenarnya belanja negara.</w:t>
      </w:r>
    </w:p>
    <w:p>
      <w:pPr>
        <w:pStyle w:val="BlockText"/>
      </w:pPr>
      <w:r>
        <w:rPr>
          <w:b/>
          <w:bCs/>
        </w:rPr>
        <w:t xml:space="preserve">Ringkasnya:</w:t>
      </w:r>
      <w:r>
        <w:t xml:space="preserve"> </w:t>
      </w:r>
      <w:r>
        <w:t xml:space="preserve">Jaminan pemerintah (penjaminan infrastruktur) adalah jaminan atas kewajiban finansial Penanggung Jawab Proyek Kerja Sama (PJPK) untuk membayar kompensasi kepada badan usaha jika risiko yang disepakati terjadi: kewajiban kontinjensi yang baru cair saat risiko terwujud. Dukungan pemerintah, seperti Dukungan Kelayakan (VGF), adalah kontribusi fiskal pasti dan tunai untuk menutup sebagian biaya proyek yang layak secara ekonomi namun belum layak secara finansial.</w:t>
      </w:r>
    </w:p>
    <w:bookmarkStart w:id="19" w:name="Xbc9c32b4de8de328a7c257a764068a7ae47f970"/>
    <w:p>
      <w:pPr>
        <w:pStyle w:val="Heading2"/>
      </w:pPr>
      <w:r>
        <w:t xml:space="preserve">Apakah dukungan pemerintah sama dengan jaminan pemerintah dalam proyek KPBU?</w:t>
      </w:r>
    </w:p>
    <w:p>
      <w:pPr>
        <w:pStyle w:val="FirstParagraph"/>
      </w:pPr>
      <w:r>
        <w:t xml:space="preserve">Tidak. Dukungan pemerintah adalah kontribusi fiskal yang memperbaiki kelayakan proyek, berupa uang APBN yang memang direncanakan keluar. Jaminan pemerintah adalah janji membayar kompensasi hanya bila risiko yang menjadi tanggung jawab PJPK di dalam perjanjian KPBU benar-benar terjadi. Yang pertama menambal ekonomi proyek, yang kedua menambal kepastian.</w:t>
      </w:r>
    </w:p>
    <w:p>
      <w:pPr>
        <w:pStyle w:val="BodyText"/>
      </w:pPr>
      <w:r>
        <w:t xml:space="preserve">Definisi resminya sempit.</w:t>
      </w:r>
      <w:r>
        <w:t xml:space="preserve"> </w:t>
      </w:r>
      <w:hyperlink r:id="rId18">
        <w:r>
          <w:rPr>
            <w:rStyle w:val="Hyperlink"/>
          </w:rPr>
          <w:t xml:space="preserve">Portal KPBU Kementerian Keuangan</w:t>
        </w:r>
      </w:hyperlink>
      <w:r>
        <w:t xml:space="preserve"> </w:t>
      </w:r>
      <w:r>
        <w:t xml:space="preserve">(diakses 2026) menyebut penjaminan infrastruktur sebagai pemberian jaminan atas kewajiban finansial PJPK untuk membayar kompensasi kepada badan usaha saat terjadi risiko infrastruktur, sesuai alokasi risiko dalam perjanjian KPBU. Objek yang dijamin adalah kewajiban PJPK, bukan keberhasilan proyek.</w:t>
      </w:r>
    </w:p>
    <w:p>
      <w:pPr>
        <w:pStyle w:val="BodyText"/>
      </w:pPr>
      <w:r>
        <w:t xml:space="preserve">Sumber kebingungannya ada pada arsitektur regulasinya sendiri. Sejak PMK Nomor 68 Tahun 2024 berlaku pada 18 Oktober 2024, Kementerian Keuangan menempatkan penjaminan infrastruktur, Dukungan Kelayakan,</w:t>
      </w:r>
      <w:r>
        <w:t xml:space="preserve"> </w:t>
      </w:r>
      <w:r>
        <w:rPr>
          <w:i/>
          <w:iCs/>
        </w:rPr>
        <w:t xml:space="preserve">Availability Payment</w:t>
      </w:r>
      <w:r>
        <w:t xml:space="preserve">, dan fasilitas penyiapan proyek di bawah satu peraturan tentang Dukungan Pemerintah untuk Pembiayaan Infrastruktur. Satu payung nama, sifat fiskal yang tidak sama.</w:t>
      </w:r>
    </w:p>
    <w:bookmarkEnd w:id="19"/>
    <w:bookmarkStart w:id="21" w:name="X05075c4a1cdfad85dd23206238a948b1bc4124e"/>
    <w:p>
      <w:pPr>
        <w:pStyle w:val="Heading2"/>
      </w:pPr>
      <w:r>
        <w:t xml:space="preserve">Empat instrumen fiskal proyek infrastruktur yang paling sering tertukar</w:t>
      </w:r>
    </w:p>
    <w:p>
      <w:pPr>
        <w:pStyle w:val="FirstParagraph"/>
      </w:pPr>
      <w:r>
        <w:t xml:space="preserve">Yang paling sering tertukar dalam pembicaraan proyek KPBU ada empat: Jaminan Pemerintah (penjaminan infrastruktur), Dukungan Kelayakan atau</w:t>
      </w:r>
      <w:r>
        <w:t xml:space="preserve"> </w:t>
      </w:r>
      <w:r>
        <w:rPr>
          <w:i/>
          <w:iCs/>
        </w:rPr>
        <w:t xml:space="preserve">Viability Gap Fund</w:t>
      </w:r>
      <w:r>
        <w:t xml:space="preserve"> </w:t>
      </w:r>
      <w:r>
        <w:t xml:space="preserve">(VGF),</w:t>
      </w:r>
      <w:r>
        <w:t xml:space="preserve"> </w:t>
      </w:r>
      <w:r>
        <w:rPr>
          <w:i/>
          <w:iCs/>
        </w:rPr>
        <w:t xml:space="preserve">Availability Payment</w:t>
      </w:r>
      <w:r>
        <w:t xml:space="preserve">, dan Penjaminan Pinjaman Langsung untuk BUMN. Dua di antaranya kewajiban kontinjensi, dua lainnya pengeluaran pasti. Tiga yang pertama kini berjalan pada satu PMK yang sama; yang keempat tidak.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w:t>
            </w:r>
          </w:p>
        </w:tc>
        <w:tc>
          <w:tcPr/>
          <w:p>
            <w:pPr>
              <w:pStyle w:val="Compact"/>
            </w:pPr>
            <w:r>
              <w:t xml:space="preserve">Apa sebenarnya</w:t>
            </w:r>
          </w:p>
        </w:tc>
        <w:tc>
          <w:tcPr/>
          <w:p>
            <w:pPr>
              <w:pStyle w:val="Compact"/>
            </w:pPr>
            <w:r>
              <w:t xml:space="preserve">Siapa membayar dan kepada siapa</w:t>
            </w:r>
          </w:p>
        </w:tc>
        <w:tc>
          <w:tcPr/>
          <w:p>
            <w:pPr>
              <w:pStyle w:val="Compact"/>
            </w:pPr>
            <w:r>
              <w:t xml:space="preserve">Kapan uang bergerak</w:t>
            </w:r>
          </w:p>
        </w:tc>
        <w:tc>
          <w:tcPr/>
          <w:p>
            <w:pPr>
              <w:pStyle w:val="Compact"/>
            </w:pPr>
            <w:r>
              <w:t xml:space="preserve">Sifat kewajiban</w:t>
            </w:r>
          </w:p>
        </w:tc>
        <w:tc>
          <w:tcPr/>
          <w:p>
            <w:pPr>
              <w:pStyle w:val="Compact"/>
            </w:pPr>
            <w:r>
              <w:t xml:space="preserve">Dasar hukum saat ini</w:t>
            </w:r>
          </w:p>
        </w:tc>
      </w:tr>
      <w:tr>
        <w:tc>
          <w:tcPr/>
          <w:p>
            <w:pPr>
              <w:pStyle w:val="Compact"/>
            </w:pPr>
            <w:r>
              <w:rPr>
                <w:b/>
                <w:bCs/>
              </w:rPr>
              <w:t xml:space="preserve">Jaminan Pemerintah</w:t>
            </w:r>
            <w:r>
              <w:t xml:space="preserve"> </w:t>
            </w:r>
            <w:r>
              <w:t xml:space="preserve">(penjaminan infrastruktur KPBU)</w:t>
            </w:r>
          </w:p>
        </w:tc>
        <w:tc>
          <w:tcPr/>
          <w:p>
            <w:pPr>
              <w:pStyle w:val="Compact"/>
            </w:pPr>
            <w:r>
              <w:t xml:space="preserve">Janji membayar kompensasi bila risiko yang menjadi tanggung jawab PJPK terjadi</w:t>
            </w:r>
          </w:p>
        </w:tc>
        <w:tc>
          <w:tcPr/>
          <w:p>
            <w:pPr>
              <w:pStyle w:val="Compact"/>
            </w:pPr>
            <w:r>
              <w:t xml:space="preserve">BUPI (Badan Usaha Penjaminan Infrastruktur) kepada badan usaha pelaksana, dengan hak regres ke PJPK</w:t>
            </w:r>
          </w:p>
        </w:tc>
        <w:tc>
          <w:tcPr/>
          <w:p>
            <w:pPr>
              <w:pStyle w:val="Compact"/>
            </w:pPr>
            <w:r>
              <w:t xml:space="preserve">Hanya saat peristiwa risiko terjamin benar terjadi</w:t>
            </w:r>
          </w:p>
        </w:tc>
        <w:tc>
          <w:tcPr/>
          <w:p>
            <w:pPr>
              <w:pStyle w:val="Compact"/>
            </w:pPr>
            <w:r>
              <w:rPr>
                <w:b/>
                <w:bCs/>
              </w:rPr>
              <w:t xml:space="preserve">Kontinjensi</w:t>
            </w:r>
            <w:r>
              <w:t xml:space="preserve">, nilainya Rp 0 pada skenario normal</w:t>
            </w:r>
          </w:p>
        </w:tc>
        <w:tc>
          <w:tcPr/>
          <w:p>
            <w:pPr>
              <w:pStyle w:val="Compact"/>
            </w:pPr>
            <w:r>
              <w:t xml:space="preserve">Perpres 78/2010 (payung); PMK 68/2024 (pelaksana)</w:t>
            </w:r>
          </w:p>
        </w:tc>
      </w:tr>
      <w:tr>
        <w:tc>
          <w:tcPr/>
          <w:p>
            <w:pPr>
              <w:pStyle w:val="Compact"/>
            </w:pPr>
            <w:r>
              <w:rPr>
                <w:b/>
                <w:bCs/>
              </w:rPr>
              <w:t xml:space="preserve">Dukungan Kelayakan</w:t>
            </w:r>
            <w:r>
              <w:t xml:space="preserve"> </w:t>
            </w:r>
            <w:r>
              <w:t xml:space="preserve">(</w:t>
            </w:r>
            <w:r>
              <w:rPr>
                <w:i/>
                <w:iCs/>
              </w:rPr>
              <w:t xml:space="preserve">Viability Gap Fund</w:t>
            </w:r>
            <w:r>
              <w:t xml:space="preserve">/VGF)</w:t>
            </w:r>
          </w:p>
        </w:tc>
        <w:tc>
          <w:tcPr/>
          <w:p>
            <w:pPr>
              <w:pStyle w:val="Compact"/>
            </w:pPr>
            <w:r>
              <w:t xml:space="preserve">Kontribusi tunai atas sebagian biaya konstruksi proyek yang layak ekonomi tetapi belum layak finansial</w:t>
            </w:r>
          </w:p>
        </w:tc>
        <w:tc>
          <w:tcPr/>
          <w:p>
            <w:pPr>
              <w:pStyle w:val="Compact"/>
            </w:pPr>
            <w:r>
              <w:t xml:space="preserve">APBN, dicairkan Kementerian Keuangan kepada badan usaha pelaksana</w:t>
            </w:r>
          </w:p>
        </w:tc>
        <w:tc>
          <w:tcPr/>
          <w:p>
            <w:pPr>
              <w:pStyle w:val="Compact"/>
            </w:pPr>
            <w:r>
              <w:t xml:space="preserve">Terjadwal: bertahap sesuai capaian konstruksi atau setelah operasi komersial</w:t>
            </w:r>
          </w:p>
        </w:tc>
        <w:tc>
          <w:tcPr/>
          <w:p>
            <w:pPr>
              <w:pStyle w:val="Compact"/>
            </w:pPr>
            <w:r>
              <w:rPr>
                <w:b/>
                <w:bCs/>
              </w:rPr>
              <w:t xml:space="preserve">Pasti</w:t>
            </w:r>
            <w:r>
              <w:t xml:space="preserve">, belanja yang dianggarkan di muka</w:t>
            </w:r>
          </w:p>
        </w:tc>
        <w:tc>
          <w:tcPr/>
          <w:p>
            <w:pPr>
              <w:pStyle w:val="Compact"/>
            </w:pPr>
            <w:r>
              <w:t xml:space="preserve">PMK 68/2024 (berlaku 18 Oktober 2024)</w:t>
            </w:r>
          </w:p>
        </w:tc>
      </w:tr>
      <w:tr>
        <w:tc>
          <w:tcPr/>
          <w:p>
            <w:pPr>
              <w:pStyle w:val="Compact"/>
            </w:pPr>
            <w:r>
              <w:rPr>
                <w:b/>
                <w:bCs/>
              </w:rPr>
              <w:t xml:space="preserve">Availability Payment</w:t>
            </w:r>
            <w:r>
              <w:t xml:space="preserve"> </w:t>
            </w:r>
            <w:r>
              <w:t xml:space="preserve">(pembayaran ketersediaan layanan)</w:t>
            </w:r>
          </w:p>
        </w:tc>
        <w:tc>
          <w:tcPr/>
          <w:p>
            <w:pPr>
              <w:pStyle w:val="Compact"/>
            </w:pPr>
            <w:r>
              <w:t xml:space="preserve">Pembayaran berkala atas layanan yang tersedia sesuai standar kontrak, bukan atas tarif pengguna</w:t>
            </w:r>
          </w:p>
        </w:tc>
        <w:tc>
          <w:tcPr/>
          <w:p>
            <w:pPr>
              <w:pStyle w:val="Compact"/>
            </w:pPr>
            <w:r>
              <w:t xml:space="preserve">PJPK (menteri, kepala lembaga, atau kepala daerah) kepada badan usaha pelaksana</w:t>
            </w:r>
          </w:p>
        </w:tc>
        <w:tc>
          <w:tcPr/>
          <w:p>
            <w:pPr>
              <w:pStyle w:val="Compact"/>
            </w:pPr>
            <w:r>
              <w:t xml:space="preserve">Periodik selama layanan tersedia; dapat terkoreksi oleh kinerja</w:t>
            </w:r>
          </w:p>
        </w:tc>
        <w:tc>
          <w:tcPr/>
          <w:p>
            <w:pPr>
              <w:pStyle w:val="Compact"/>
            </w:pPr>
            <w:r>
              <w:rPr>
                <w:b/>
                <w:bCs/>
              </w:rPr>
              <w:t xml:space="preserve">Pasti</w:t>
            </w:r>
            <w:r>
              <w:t xml:space="preserve">, kewajiban terjadwal dalam kontrak</w:t>
            </w:r>
          </w:p>
        </w:tc>
        <w:tc>
          <w:tcPr/>
          <w:p>
            <w:pPr>
              <w:pStyle w:val="Compact"/>
            </w:pPr>
            <w:r>
              <w:t xml:space="preserve">PMK 68/2024 (berlaku 18 Oktober 2024)</w:t>
            </w:r>
          </w:p>
        </w:tc>
      </w:tr>
      <w:tr>
        <w:tc>
          <w:tcPr/>
          <w:p>
            <w:pPr>
              <w:pStyle w:val="Compact"/>
            </w:pPr>
            <w:r>
              <w:rPr>
                <w:b/>
                <w:bCs/>
              </w:rPr>
              <w:t xml:space="preserve">Penjaminan Pinjaman Langsung</w:t>
            </w:r>
            <w:r>
              <w:t xml:space="preserve"> </w:t>
            </w:r>
            <w:r>
              <w:t xml:space="preserve">(</w:t>
            </w:r>
            <w:r>
              <w:rPr>
                <w:i/>
                <w:iCs/>
              </w:rPr>
              <w:t xml:space="preserve">direct lending</w:t>
            </w:r>
            <w:r>
              <w:t xml:space="preserve">)</w:t>
            </w:r>
          </w:p>
        </w:tc>
        <w:tc>
          <w:tcPr/>
          <w:p>
            <w:pPr>
              <w:pStyle w:val="Compact"/>
            </w:pPr>
            <w:r>
              <w:t xml:space="preserve">Jaminan atas risiko gagal bayar BUMN pada pinjaman dari lembaga keuangan internasional atau penerbitan obligasi, di luar skema KPBU</w:t>
            </w:r>
          </w:p>
        </w:tc>
        <w:tc>
          <w:tcPr/>
          <w:p>
            <w:pPr>
              <w:pStyle w:val="Compact"/>
            </w:pPr>
            <w:r>
              <w:t xml:space="preserve">Pemerintah dan/atau BUPI kepada pemberi pinjaman atau pemegang obligasi</w:t>
            </w:r>
          </w:p>
        </w:tc>
        <w:tc>
          <w:tcPr/>
          <w:p>
            <w:pPr>
              <w:pStyle w:val="Compact"/>
            </w:pPr>
            <w:r>
              <w:t xml:space="preserve">Hanya saat BUMN benar-benar gagal bayar</w:t>
            </w:r>
          </w:p>
        </w:tc>
        <w:tc>
          <w:tcPr/>
          <w:p>
            <w:pPr>
              <w:pStyle w:val="Compact"/>
            </w:pPr>
            <w:r>
              <w:rPr>
                <w:b/>
                <w:bCs/>
              </w:rPr>
              <w:t xml:space="preserve">Kontinjensi</w:t>
            </w:r>
            <w:r>
              <w:t xml:space="preserve">, nilainya Rp 0 pada skenario normal</w:t>
            </w:r>
          </w:p>
        </w:tc>
        <w:tc>
          <w:tcPr/>
          <w:p>
            <w:pPr>
              <w:pStyle w:val="Compact"/>
            </w:pPr>
            <w:r>
              <w:t xml:space="preserve">Perpres 82/2015 (payung); PMK 101/PMK.08/2018 (pelaksana)</w:t>
            </w:r>
          </w:p>
        </w:tc>
      </w:tr>
    </w:tbl>
    <w:p>
      <w:pPr>
        <w:pStyle w:val="BodyText"/>
      </w:pPr>
      <w:r>
        <w:t xml:space="preserve">Tiga baris pertama kini bermuara pada satu aturan pelaksana.</w:t>
      </w:r>
      <w:r>
        <w:t xml:space="preserve"> </w:t>
      </w:r>
      <w:hyperlink r:id="rId20">
        <w:r>
          <w:rPr>
            <w:rStyle w:val="Hyperlink"/>
          </w:rPr>
          <w:t xml:space="preserve">PMK Nomor 68 Tahun 2024</w:t>
        </w:r>
      </w:hyperlink>
      <w:r>
        <w:t xml:space="preserve">, ditetapkan 24 September 2024 dan berlaku 18 Oktober 2024, mencabut rangkaian PMK lama untuk penjaminan infrastruktur, Dukungan Kelayakan,</w:t>
      </w:r>
      <w:r>
        <w:t xml:space="preserve"> </w:t>
      </w:r>
      <w:r>
        <w:rPr>
          <w:i/>
          <w:iCs/>
        </w:rPr>
        <w:t xml:space="preserve">Availability Payment</w:t>
      </w:r>
      <w:r>
        <w:t xml:space="preserve">, sekaligus fasilitas penyiapan proyek. Baris keempat tidak tersentuh konsolidasi itu. Payung tingkat Perpres tetap: Perpres 78/2010 dan Perpres 38/2015 masih berlaku.</w:t>
      </w:r>
    </w:p>
    <w:p>
      <w:pPr>
        <w:pStyle w:val="BodyText"/>
      </w:pPr>
      <w:r>
        <w:t xml:space="preserve">Satu regulasi lagi kerap ikut muncul di hasil pencarian, yaitu Perpres Nomor 103 Tahun 2020 era Pemulihan Ekonomi Nasional. Peraturan itu belum dicabut, tetapi program yang dilayaninya berakhir sekitar 2022, sehingga lebih tepat dibaca sebagai rezim historis.</w:t>
      </w:r>
    </w:p>
    <w:bookmarkEnd w:id="21"/>
    <w:bookmarkStart w:id="23" w:name="X6e0f6e5c9f4dcabfb7a889aaac5b93a08d5382f"/>
    <w:p>
      <w:pPr>
        <w:pStyle w:val="Heading2"/>
      </w:pPr>
      <w:r>
        <w:t xml:space="preserve">Uji kontinjensi: mana yang benar-benar sebuah jaminan?</w:t>
      </w:r>
    </w:p>
    <w:p>
      <w:pPr>
        <w:pStyle w:val="FirstParagraph"/>
      </w:pPr>
      <w:r>
        <w:t xml:space="preserve">Ujinya satu kalimat: apakah instrumen ini tetap membayar sesuatu ketika proyek berjalan mulus? Jika ya, ia belanja. Jika nilainya nol pada skenario normal dan baru bergerak saat peristiwa risiko tertentu terjadi, barulah ia jaminan. Dengan uji itu, dari tiga instrumen di dalam skema KPBU hanya satu yang lolos.</w:t>
      </w:r>
    </w:p>
    <w:p>
      <w:pPr>
        <w:pStyle w:val="BodyText"/>
      </w:pPr>
      <w:hyperlink r:id="rId22">
        <w:r>
          <w:rPr>
            <w:rStyle w:val="Hyperlink"/>
          </w:rPr>
          <w:t xml:space="preserve">Direktorat Jenderal Kekayaan Negara Kementerian Keuangan</w:t>
        </w:r>
      </w:hyperlink>
      <w:r>
        <w:t xml:space="preserve"> </w:t>
      </w:r>
      <w:r>
        <w:t xml:space="preserve">(diakses 2026) merumuskan kewajiban kontinjensi sebagai kewajiban yang pembayarannya baru diperlukan jika suatu peristiwa masa depan yang tidak pasti terjadi. Ada-tidaknya pembayaran, nilainya, dan waktunya sama-sama belum diketahui di muka. Lawannya adalah kewajiban langsung, yang nilainya sudah diketahui sejak awal atau dibayarkan sesuai jadwal kontrak. VGF dan</w:t>
      </w:r>
      <w:r>
        <w:t xml:space="preserve"> </w:t>
      </w:r>
      <w:r>
        <w:rPr>
          <w:i/>
          <w:iCs/>
        </w:rPr>
        <w:t xml:space="preserve">Availability Payment</w:t>
      </w:r>
      <w:r>
        <w:t xml:space="preserve"> </w:t>
      </w:r>
      <w:r>
        <w:t xml:space="preserve">jatuh persis pada kelompok kedua.</w:t>
      </w:r>
    </w:p>
    <w:p>
      <w:pPr>
        <w:pStyle w:val="BodyText"/>
      </w:pPr>
      <w:r>
        <w:t xml:space="preserve">Instrumen keempat, penjaminan pinjaman langsung, juga lolos uji ini. Bedanya, ia bekerja di luar skema KPBU, dengan pemohon BUMN dan bukan PJPK.</w:t>
      </w:r>
    </w:p>
    <w:p>
      <w:pPr>
        <w:pStyle w:val="BodyText"/>
      </w:pPr>
      <w:r>
        <w:t xml:space="preserve">Perbedaan sifat itu terasa di tiga tempat:</w:t>
      </w:r>
    </w:p>
    <w:p>
      <w:pPr>
        <w:pStyle w:val="Compact"/>
        <w:numPr>
          <w:ilvl w:val="0"/>
          <w:numId w:val="1001"/>
        </w:numPr>
      </w:pPr>
      <w:r>
        <w:rPr>
          <w:b/>
          <w:bCs/>
        </w:rPr>
        <w:t xml:space="preserve">Bagi APBN.</w:t>
      </w:r>
      <w:r>
        <w:t xml:space="preserve"> </w:t>
      </w:r>
      <w:r>
        <w:t xml:space="preserve">Jaminan dicatat sebagai kewajiban kontinjensi dan dipagari (</w:t>
      </w:r>
      <w:r>
        <w:rPr>
          <w:i/>
          <w:iCs/>
        </w:rPr>
        <w:t xml:space="preserve">ring-fence</w:t>
      </w:r>
      <w:r>
        <w:t xml:space="preserve">), bukan sebagai belanja; VGF dan</w:t>
      </w:r>
      <w:r>
        <w:t xml:space="preserve"> </w:t>
      </w:r>
      <w:r>
        <w:rPr>
          <w:i/>
          <w:iCs/>
        </w:rPr>
        <w:t xml:space="preserve">Availability Payment</w:t>
      </w:r>
      <w:r>
        <w:t xml:space="preserve"> </w:t>
      </w:r>
      <w:r>
        <w:t xml:space="preserve">masuk sebagai pengeluaran yang dianggarkan.</w:t>
      </w:r>
    </w:p>
    <w:p>
      <w:pPr>
        <w:pStyle w:val="Compact"/>
        <w:numPr>
          <w:ilvl w:val="0"/>
          <w:numId w:val="1001"/>
        </w:numPr>
      </w:pPr>
      <w:r>
        <w:rPr>
          <w:b/>
          <w:bCs/>
        </w:rPr>
        <w:t xml:space="preserve">Bagi PJPK.</w:t>
      </w:r>
      <w:r>
        <w:t xml:space="preserve"> </w:t>
      </w:r>
      <w:r>
        <w:t xml:space="preserve">Dua instrumen pasti harus diamankan dalam kapasitas fiskal multitahun sejak awal, sedangkan jaminan tidak menyerap anggaran sampai klaim diajukan.</w:t>
      </w:r>
    </w:p>
    <w:p>
      <w:pPr>
        <w:pStyle w:val="Compact"/>
        <w:numPr>
          <w:ilvl w:val="0"/>
          <w:numId w:val="1001"/>
        </w:numPr>
      </w:pPr>
      <w:r>
        <w:rPr>
          <w:b/>
          <w:bCs/>
        </w:rPr>
        <w:t xml:space="preserve">Bagi</w:t>
      </w:r>
      <w:r>
        <w:rPr>
          <w:b/>
          <w:bCs/>
        </w:rPr>
        <w:t xml:space="preserve"> </w:t>
      </w:r>
      <w:r>
        <w:rPr>
          <w:b/>
          <w:bCs/>
          <w:i/>
          <w:iCs/>
        </w:rPr>
        <w:t xml:space="preserve">lender</w:t>
      </w:r>
      <w:r>
        <w:rPr>
          <w:b/>
          <w:bCs/>
        </w:rPr>
        <w:t xml:space="preserve">.</w:t>
      </w:r>
      <w:r>
        <w:t xml:space="preserve"> </w:t>
      </w:r>
      <w:r>
        <w:t xml:space="preserve">VGF memperbaiki angka pada model arus kas; jaminan memperbaiki kualitas risiko di belakang angka itu.</w:t>
      </w:r>
    </w:p>
    <w:p>
      <w:pPr>
        <w:pStyle w:val="FirstParagraph"/>
      </w:pPr>
      <w:r>
        <w:t xml:space="preserve">Kontinjen bukan berarti gratis. Eksposurnya tetap harus dinilai, dicatat, dan dipagari. Itulah alasan penjaminan infrastruktur diselenggarakan lewat satu pintu Badan Usaha Penjaminan Infrastruktur (BUPI) di bawah Kementerian Keuangan, bukan sendiri-sendiri oleh setiap instansi.</w:t>
      </w:r>
    </w:p>
    <w:bookmarkEnd w:id="23"/>
    <w:bookmarkStart w:id="25" w:name="Xff580ffb6695180d2b5a8d830f39ea706821d30"/>
    <w:p>
      <w:pPr>
        <w:pStyle w:val="Heading2"/>
      </w:pPr>
      <w:r>
        <w:t xml:space="preserve">Satu proyek bisa memakai lebih dari satu instrumen sekaligus</w:t>
      </w:r>
    </w:p>
    <w:p>
      <w:pPr>
        <w:pStyle w:val="FirstParagraph"/>
      </w:pPr>
      <w:r>
        <w:t xml:space="preserve">Keempat instrumen bukan pilihan yang saling meniadakan. Proyek yang tarifnya secara regulasi tidak boleh menutup biaya modal bisa memerlukan Dukungan Kelayakan sekaligus jaminan pemerintah: yang satu memperbaiki kelayakan finansial, yang lain memperbaiki kepastian terhadap risiko pemerintah. Keduanya menjawab masalah berbeda dan tidak saling menggantikan.</w:t>
      </w:r>
    </w:p>
    <w:p>
      <w:pPr>
        <w:pStyle w:val="BodyText"/>
      </w:pPr>
      <w:r>
        <w:t xml:space="preserve">Urutan pertimbangan yang lazim dipakai tim penyiapan:</w:t>
      </w:r>
    </w:p>
    <w:p>
      <w:pPr>
        <w:pStyle w:val="Compact"/>
        <w:numPr>
          <w:ilvl w:val="0"/>
          <w:numId w:val="1002"/>
        </w:numPr>
      </w:pPr>
      <w:r>
        <w:rPr>
          <w:b/>
          <w:bCs/>
        </w:rPr>
        <w:t xml:space="preserve">Uji kelayakannya dulu.</w:t>
      </w:r>
      <w:r>
        <w:t xml:space="preserve"> </w:t>
      </w:r>
      <w:r>
        <w:t xml:space="preserve">Layak secara ekonomi tetapi belum layak secara finansial? Di situ pertanyaan Dukungan Kelayakan muncul, bukan pertanyaan jaminan.</w:t>
      </w:r>
    </w:p>
    <w:p>
      <w:pPr>
        <w:pStyle w:val="Compact"/>
        <w:numPr>
          <w:ilvl w:val="0"/>
          <w:numId w:val="1002"/>
        </w:numPr>
      </w:pPr>
      <w:r>
        <w:rPr>
          <w:b/>
          <w:bCs/>
        </w:rPr>
        <w:t xml:space="preserve">Tentukan mekanisme pembayarannya.</w:t>
      </w:r>
      <w:r>
        <w:t xml:space="preserve"> </w:t>
      </w:r>
      <w:r>
        <w:t xml:space="preserve">Badan usaha dibayar dari tarif pengguna atau dari</w:t>
      </w:r>
      <w:r>
        <w:t xml:space="preserve"> </w:t>
      </w:r>
      <w:r>
        <w:rPr>
          <w:i/>
          <w:iCs/>
        </w:rPr>
        <w:t xml:space="preserve">Availability Payment</w:t>
      </w:r>
      <w:r>
        <w:t xml:space="preserve">? Pilihan ini mengubah profil risiko yang tersisa.</w:t>
      </w:r>
    </w:p>
    <w:p>
      <w:pPr>
        <w:pStyle w:val="Compact"/>
        <w:numPr>
          <w:ilvl w:val="0"/>
          <w:numId w:val="1002"/>
        </w:numPr>
      </w:pPr>
      <w:r>
        <w:rPr>
          <w:b/>
          <w:bCs/>
        </w:rPr>
        <w:t xml:space="preserve">Baru identifikasi risiko pemerintah yang perlu dijamin.</w:t>
      </w:r>
      <w:r>
        <w:t xml:space="preserve"> </w:t>
      </w:r>
      <w:r>
        <w:t xml:space="preserve">Termasuk risiko yang lahir dari langkah sebelumnya, misalnya keterlambatan pembayaran</w:t>
      </w:r>
      <w:r>
        <w:t xml:space="preserve"> </w:t>
      </w:r>
      <w:r>
        <w:rPr>
          <w:i/>
          <w:iCs/>
        </w:rPr>
        <w:t xml:space="preserve">Availability Payment</w:t>
      </w:r>
      <w:r>
        <w:t xml:space="preserve">.</w:t>
      </w:r>
    </w:p>
    <w:p>
      <w:pPr>
        <w:pStyle w:val="FirstParagraph"/>
      </w:pPr>
      <w:r>
        <w:t xml:space="preserve">Urutan itu kurang lebih sama dengan cara</w:t>
      </w:r>
      <w:r>
        <w:t xml:space="preserve"> </w:t>
      </w:r>
      <w:r>
        <w:rPr>
          <w:i/>
          <w:iCs/>
        </w:rPr>
        <w:t xml:space="preserve">lender</w:t>
      </w:r>
      <w:r>
        <w:t xml:space="preserve"> </w:t>
      </w:r>
      <w:r>
        <w:t xml:space="preserve">internasional membaca proyek dalam</w:t>
      </w:r>
      <w:r>
        <w:t xml:space="preserve"> </w:t>
      </w:r>
      <w:hyperlink r:id="rId24">
        <w:r>
          <w:rPr>
            <w:rStyle w:val="Hyperlink"/>
          </w:rPr>
          <w:t xml:space="preserve">kerangka</w:t>
        </w:r>
        <w:r>
          <w:rPr>
            <w:rStyle w:val="Hyperlink"/>
          </w:rPr>
          <w:t xml:space="preserve"> </w:t>
        </w:r>
        <w:r>
          <w:rPr>
            <w:rStyle w:val="Hyperlink"/>
            <w:i/>
            <w:iCs/>
          </w:rPr>
          <w:t xml:space="preserve">public private partnership</w:t>
        </w:r>
      </w:hyperlink>
      <w:r>
        <w:t xml:space="preserve">, tempat istilah</w:t>
      </w:r>
      <w:r>
        <w:t xml:space="preserve"> </w:t>
      </w:r>
      <w:r>
        <w:rPr>
          <w:i/>
          <w:iCs/>
        </w:rPr>
        <w:t xml:space="preserve">viability gap funding</w:t>
      </w:r>
      <w:r>
        <w:t xml:space="preserve"> </w:t>
      </w:r>
      <w:r>
        <w:t xml:space="preserve">sudah lebih dulu mapan.</w:t>
      </w:r>
    </w:p>
    <w:p>
      <w:pPr>
        <w:pStyle w:val="BodyText"/>
      </w:pPr>
      <w:r>
        <w:t xml:space="preserve">Bahwa jaminan pemerintah berjalan lewat lebih dari satu jalur mandat terlihat pada komposisi portofolio. Sampai Juni 2026, PT PII, satu-satunya BUMN dengan mandat BUPI, telah menjamin 61 proyek senilai investasi lebih dari Rp 732 triliun, terbagi atas 38 proyek KPBU dan 23 proyek non-KPBU. Angka ini kumulatif dan berubah tiap publikasi.</w:t>
      </w:r>
    </w:p>
    <w:bookmarkEnd w:id="25"/>
    <w:bookmarkStart w:id="27" w:name="X53579417de89931d7b9fdfae152a0599f311e3d"/>
    <w:p>
      <w:pPr>
        <w:pStyle w:val="Heading2"/>
      </w:pPr>
      <w:r>
        <w:t xml:space="preserve">Kapan jaminan pemerintah TIDAK akan menyelesaikan masalah Anda</w:t>
      </w:r>
    </w:p>
    <w:p>
      <w:pPr>
        <w:pStyle w:val="FirstParagraph"/>
      </w:pPr>
      <w:r>
        <w:t xml:space="preserve">Jika masalahnya adalah ekonomi proyek, yaitu tarif terlalu rendah, permintaan terlalu tipis, atau biaya modal terlalu besar, jaminan pemerintah tidak akan memperbaikinya. Jaminan sama sekali tidak menyentuh arus kas proyek pada skenario normal. Yang dibutuhkan adalah dukungan kelayakan, perancangan ulang struktur transaksi, atau mekanisme pembayaran yang berbeda.</w:t>
      </w:r>
    </w:p>
    <w:p>
      <w:pPr>
        <w:pStyle w:val="BodyText"/>
      </w:pPr>
      <w:r>
        <w:t xml:space="preserve">Dua hal perlu dinyatakan lugas karena sering diasumsikan sebaliknya. Jaminan pemerintah bukan subsidi: ia tidak menambah pendapatan proyek dan tidak menurunkan biaya konstruksi. Dukungan Kelayakan justru merupakan dukungan fiskal riil: uang APBN yang keluar dari kas negara untuk menutup sebagian biaya konstruksi. Jaminan juga tidak menutup risiko komersial badan usaha, mulai dari permintaan yang meleset sampai biaya operasi yang membengkak. Yang dijamin adalah risiko yang menjadi tanggung jawab pemerintah di dalam kontrak.</w:t>
      </w:r>
    </w:p>
    <w:p>
      <w:pPr>
        <w:pStyle w:val="BodyText"/>
      </w:pPr>
      <w:r>
        <w:t xml:space="preserve">Sebaliknya, bila ekonomi proyek sudah sehat dan yang mengganjal adalah kegelisahan</w:t>
      </w:r>
      <w:r>
        <w:t xml:space="preserve"> </w:t>
      </w:r>
      <w:r>
        <w:rPr>
          <w:i/>
          <w:iCs/>
        </w:rPr>
        <w:t xml:space="preserve">lender</w:t>
      </w:r>
      <w:r>
        <w:t xml:space="preserve"> </w:t>
      </w:r>
      <w:r>
        <w:t xml:space="preserve">terhadap perubahan regulasi, keterlambatan izin, atau wanprestasi PJPK, jaminan adalah instrumen yang tepat dan kerap jadi syarat terakhir menuju</w:t>
      </w:r>
      <w:r>
        <w:t xml:space="preserve"> </w:t>
      </w:r>
      <w:r>
        <w:rPr>
          <w:i/>
          <w:iCs/>
        </w:rPr>
        <w:t xml:space="preserve">financial close</w:t>
      </w:r>
      <w:r>
        <w:t xml:space="preserve">. Untuk proyek daerah yang tersandung keterbatasan APBD ketimbang risiko pemerintah, jalur yang lebih relevan biasanya</w:t>
      </w:r>
      <w:r>
        <w:t xml:space="preserve"> </w:t>
      </w:r>
      <w:hyperlink r:id="rId26">
        <w:r>
          <w:rPr>
            <w:rStyle w:val="Hyperlink"/>
          </w:rPr>
          <w:t xml:space="preserve">skema pembiayaan kreatif</w:t>
        </w:r>
      </w:hyperlink>
      <w:r>
        <w:t xml:space="preserve">.</w:t>
      </w:r>
    </w:p>
    <w:p>
      <w:pPr>
        <w:pStyle w:val="BodyText"/>
      </w:pPr>
      <w:r>
        <w:t xml:space="preserve">Salah mendiagnosis di titik ini biasanya berarti kehilangan satu siklus anggaran, bukan sekadar salah istilah.</w:t>
      </w:r>
    </w:p>
    <w:bookmarkEnd w:id="27"/>
    <w:bookmarkStart w:id="34" w:name="faq-pertanyaan-yang-sering-diajukan"/>
    <w:p>
      <w:pPr>
        <w:pStyle w:val="Heading2"/>
      </w:pPr>
      <w:r>
        <w:t xml:space="preserve">FAQ (Pertanyaan yang Sering Diajukan)</w:t>
      </w:r>
    </w:p>
    <w:bookmarkStart w:id="28" w:name="X1588c2a2ed6063e538d2880dc7cd1de561f12f0"/>
    <w:p>
      <w:pPr>
        <w:pStyle w:val="Heading3"/>
      </w:pPr>
      <w:r>
        <w:t xml:space="preserve">Apa yang dimaksud dengan jaminan pemerintah dalam proyek infrastruktur?</w:t>
      </w:r>
    </w:p>
    <w:p>
      <w:pPr>
        <w:pStyle w:val="FirstParagraph"/>
      </w:pPr>
      <w:r>
        <w:t xml:space="preserve">Jaminan pemerintah, atau penjaminan infrastruktur, adalah jaminan atas kewajiban finansial PJPK untuk membayar kompensasi kepada badan usaha pelaksana bila risiko infrastruktur yang disepakati dalam perjanjian KPBU terjadi. Payung hukumnya Perpres Nomor 78 Tahun 2010, dengan aturan pelaksana PMK Nomor 68 Tahun 2024. Istilah ini berbeda dari jaminan sosial, agunan, maupun jaminan pelaksanaan.</w:t>
      </w:r>
    </w:p>
    <w:bookmarkEnd w:id="28"/>
    <w:bookmarkStart w:id="29" w:name="Xa442f9dece3a999fe0a48946ed6478332c0cb6e"/>
    <w:p>
      <w:pPr>
        <w:pStyle w:val="Heading3"/>
      </w:pPr>
      <w:r>
        <w:t xml:space="preserve">Apa itu VGF (Viability Gap Fund) dalam KPBU?</w:t>
      </w:r>
    </w:p>
    <w:p>
      <w:pPr>
        <w:pStyle w:val="FirstParagraph"/>
      </w:pPr>
      <w:r>
        <w:t xml:space="preserve">Dukungan Kelayakan atau Viability Gap Fund adalah kontribusi fiskal tunai atas sebagian biaya konstruksi proyek KPBU yang layak secara ekonomi tetapi belum layak secara finansial. Dananya dari APBN dan dicairkan bertahap selama konstruksi atau setelah operasi komersial. Berbeda dari jaminan, VGF adalah pengeluaran pasti.</w:t>
      </w:r>
    </w:p>
    <w:bookmarkEnd w:id="29"/>
    <w:bookmarkStart w:id="30" w:name="Xc909507da3f731578691f3186e1e1b6f84a2172"/>
    <w:p>
      <w:pPr>
        <w:pStyle w:val="Heading3"/>
      </w:pPr>
      <w:r>
        <w:t xml:space="preserve">Skema pembayaran KPBU berdasarkan ketersediaan dan kualitas layanan disebut apa?</w:t>
      </w:r>
    </w:p>
    <w:p>
      <w:pPr>
        <w:pStyle w:val="FirstParagraph"/>
      </w:pPr>
      <w:r>
        <w:t xml:space="preserve">Skema itu disebut Availability Payment atau Pembayaran Ketersediaan Layanan: pembayaran berkala dari menteri, kepala lembaga, atau kepala daerah selaku PJPK kepada badan usaha pelaksana selama layanan tersedia sesuai standar perjanjian KPBU. Sejak 18 Oktober 2024, tata caranya diatur PMK Nomor 68 Tahun 2024.</w:t>
      </w:r>
    </w:p>
    <w:bookmarkEnd w:id="30"/>
    <w:bookmarkStart w:id="31" w:name="Xc530191d43ac22c9173c41da88c2d36a13b3407"/>
    <w:p>
      <w:pPr>
        <w:pStyle w:val="Heading3"/>
      </w:pPr>
      <w:r>
        <w:t xml:space="preserve">Apa perbedaan jaminan pemerintah dan Dukungan Kelayakan (VGF)?</w:t>
      </w:r>
    </w:p>
    <w:p>
      <w:pPr>
        <w:pStyle w:val="FirstParagraph"/>
      </w:pPr>
      <w:r>
        <w:t xml:space="preserve">Perbedaannya pada sifat kewajiban. Jaminan pemerintah bersifat kontinjensi: uang baru keluar bila risiko yang dijamin terjadi, dan nilainya nol pada skenario normal. Dukungan Kelayakan pasti cair sesuai jadwal proyek. Jaminan memperbaiki kepastian bagi</w:t>
      </w:r>
      <w:r>
        <w:t xml:space="preserve"> </w:t>
      </w:r>
      <w:r>
        <w:rPr>
          <w:i/>
          <w:iCs/>
        </w:rPr>
        <w:t xml:space="preserve">lender</w:t>
      </w:r>
      <w:r>
        <w:t xml:space="preserve">, VGF memperbaiki kelayakan finansial, dan keduanya bisa dipakai bersamaan.</w:t>
      </w:r>
    </w:p>
    <w:bookmarkEnd w:id="31"/>
    <w:bookmarkStart w:id="32" w:name="Xcb4e16b925ccd402723024283fff8c0893d2822"/>
    <w:p>
      <w:pPr>
        <w:pStyle w:val="Heading3"/>
      </w:pPr>
      <w:r>
        <w:t xml:space="preserve">Apakah public private partnership sama dengan KPBU?</w:t>
      </w:r>
    </w:p>
    <w:p>
      <w:pPr>
        <w:pStyle w:val="FirstParagraph"/>
      </w:pPr>
      <w:r>
        <w:t xml:space="preserve">Secara substansi ya. KPBU adalah padanan Indonesia untuk public private partnership yang dipakai lembaga multilateral seperti Bank Dunia dan ADB. Bedanya pada kerangka hukum: KPBU diatur Perpres Nomor 38 Tahun 2015 beserta aturan turunannya, sedangkan PPP adalah istilah generik tanpa satu kerangka hukum tunggal.</w:t>
      </w:r>
    </w:p>
    <w:bookmarkEnd w:id="32"/>
    <w:bookmarkStart w:id="33" w:name="X30a404ebf1f04587fbd9aadb710717b222c98a5"/>
    <w:p>
      <w:pPr>
        <w:pStyle w:val="Heading3"/>
      </w:pPr>
      <w:r>
        <w:t xml:space="preserve">Apakah penjaminan pinjaman langsung sama dengan jaminan pemerintah untuk proyek KPBU?</w:t>
      </w:r>
    </w:p>
    <w:p>
      <w:pPr>
        <w:pStyle w:val="FirstParagraph"/>
      </w:pPr>
      <w:r>
        <w:t xml:space="preserve">Tidak. Penjaminan pinjaman langsung menjamin risiko gagal bayar BUMN atas pinjaman dari lembaga keuangan internasional atau penerbitan obligasi di luar skema KPBU, berdasarkan Perpres Nomor 82 Tahun 2015 dan PMK Nomor 101/PMK.08/2018. Jaminan pemerintah KPBU menjamin kewajiban finansial PJPK dalam kontrak kerja sama. Keduanya kontinjensi, tetapi berbeda mandat dan pemohon.</w:t>
      </w:r>
    </w:p>
    <w:bookmarkEnd w:id="33"/>
    <w:bookmarkEnd w:id="34"/>
    <w:bookmarkStart w:id="35" w:name="kesimpulan"/>
    <w:p>
      <w:pPr>
        <w:pStyle w:val="Heading2"/>
      </w:pPr>
      <w:r>
        <w:t xml:space="preserve">Kesimpulan</w:t>
      </w:r>
    </w:p>
    <w:p>
      <w:pPr>
        <w:pStyle w:val="FirstParagraph"/>
      </w:pPr>
      <w:r>
        <w:t xml:space="preserve">Empat instrumen, dua sifat fiskal. Menyebut semuanya</w:t>
      </w:r>
      <w:r>
        <w:t xml:space="preserve"> </w:t>
      </w:r>
      <w:r>
        <w:t xml:space="preserve">“dukungan pemerintah”</w:t>
      </w:r>
      <w:r>
        <w:t xml:space="preserve"> </w:t>
      </w:r>
      <w:r>
        <w:t xml:space="preserve">tidak keliru secara administratif, tetapi menyamakan sifat kewajibannya membuat tim penyiapan meminta instrumen yang tidak menjawab masalahnya. Uji kontinjensi memisahkannya lewat satu pertanyaan: apakah uang tetap bergerak ketika proyek berjalan mulus? Di dalam skema KPBU, hanya jaminan pemerintah yang menjawab tidak. Sifat kontinjen itulah yang membuat penjaminan yang diterbitkan PT PII dicatat dan dikelola terpisah dari belanja yang sudah pasti keluar dari kas negara, dan diskusinya paling produktif dimulai sejak tahap penyiapan.</w:t>
      </w:r>
    </w:p>
    <w:p>
      <w:pPr>
        <w:pStyle w:val="BodyText"/>
      </w:pPr>
      <w:r>
        <w:t xml:space="preserve">Pemetaan instrumen Penjaminan Pemerintah untuk proyek KPBU dapat Anda telusuri lebih jauh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jdih.kemenkeu.go.id/dok/pmk-68-tahun-2024" TargetMode="External" /><Relationship Type="http://schemas.openxmlformats.org/officeDocument/2006/relationships/hyperlink" Id="rId18" Target="https://kpbu.kemenkeu.go.id/read/64-64/pjpk/dukungan-pemerintah/penjaminan-infrastruktur" TargetMode="External" /><Relationship Type="http://schemas.openxmlformats.org/officeDocument/2006/relationships/hyperlink" Id="rId22" Target="https://www.djkn.kemenkeu.go.id/artikel/baca/11077/Peran-PT-Penjaminan-Infrastruktur-Indonesia-Persero-Dalam-Meminimalisasi-Risiko-Fiskal-atas-Kewajiban-Kontinjensi-Pemerintah-Indonesia-yang-Timbul-dari-Proyek-Infrastruktur.html" TargetMode="External" /><Relationship Type="http://schemas.openxmlformats.org/officeDocument/2006/relationships/hyperlink" Id="rId17"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24"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0" Target="https://jdih.kemenkeu.go.id/dok/pmk-68-tahun-2024" TargetMode="External" /><Relationship Type="http://schemas.openxmlformats.org/officeDocument/2006/relationships/hyperlink" Id="rId18" Target="https://kpbu.kemenkeu.go.id/read/64-64/pjpk/dukungan-pemerintah/penjaminan-infrastruktur" TargetMode="External" /><Relationship Type="http://schemas.openxmlformats.org/officeDocument/2006/relationships/hyperlink" Id="rId22" Target="https://www.djkn.kemenkeu.go.id/artikel/baca/11077/Peran-PT-Penjaminan-Infrastruktur-Indonesia-Persero-Dalam-Meminimalisasi-Risiko-Fiskal-atas-Kewajiban-Kontinjensi-Pemerintah-Indonesia-yang-Timbul-dari-Proyek-Infrastruktur.html" TargetMode="External" /><Relationship Type="http://schemas.openxmlformats.org/officeDocument/2006/relationships/hyperlink" Id="rId17"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24"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2026-08-12T09:08:32Z</dcterms:created>
  <dcterms:modified xsi:type="dcterms:W3CDTF">2026-08-12T09:08:32Z</dcterms:modified>
</cp:coreProperties>
</file>

<file path=docProps/custom.xml><?xml version="1.0" encoding="utf-8"?>
<Properties xmlns="http://schemas.openxmlformats.org/officeDocument/2006/custom-properties" xmlns:vt="http://schemas.openxmlformats.org/officeDocument/2006/docPropsVTypes"/>
</file>