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"Klaim Jaminan Pemerintah di Proyek KPBU: Bagaimana Hak Regres Bekerja"</w:t>
      </w:r>
      <w:r>
        <w:br/>
      </w:r>
      <w:r>
        <w:rPr>
          <w:rStyle w:val="FunctionTok"/>
        </w:rPr>
        <w:t xml:space="preserve">meta_title</w:t>
      </w:r>
      <w:r>
        <w:rPr>
          <w:rStyle w:val="KeywordTok"/>
        </w:rPr>
        <w:t xml:space="preserve">:</w:t>
      </w:r>
      <w:r>
        <w:rPr>
          <w:rStyle w:val="AttributeTok"/>
        </w:rPr>
        <w:t xml:space="preserve"> </w:t>
      </w:r>
      <w:r>
        <w:rPr>
          <w:rStyle w:val="StringTok"/>
        </w:rPr>
        <w:t xml:space="preserve">"Jaminan Pemerintah KPBU: Cara Kerja Klaim &amp; Hak Regres"</w:t>
      </w:r>
      <w:r>
        <w:br/>
      </w:r>
      <w:r>
        <w:rPr>
          <w:rStyle w:val="FunctionTok"/>
        </w:rPr>
        <w:t xml:space="preserve">meta_description</w:t>
      </w:r>
      <w:r>
        <w:rPr>
          <w:rStyle w:val="KeywordTok"/>
        </w:rPr>
        <w:t xml:space="preserve">:</w:t>
      </w:r>
      <w:r>
        <w:rPr>
          <w:rStyle w:val="AttributeTok"/>
        </w:rPr>
        <w:t xml:space="preserve"> </w:t>
      </w:r>
      <w:r>
        <w:rPr>
          <w:rStyle w:val="StringTok"/>
        </w:rPr>
        <w:t xml:space="preserve">"Jaminan pemerintah proyek KPBU: alur klaim, hak regres ke PJPK, dan mengapa kewajiban kontinjensi APBN dipagari, bukan subsidi. Panduan praktisi 2026."</w:t>
      </w:r>
      <w:r>
        <w:br/>
      </w:r>
      <w:r>
        <w:rPr>
          <w:rStyle w:val="FunctionTok"/>
        </w:rPr>
        <w:t xml:space="preserve">slug</w:t>
      </w:r>
      <w:r>
        <w:rPr>
          <w:rStyle w:val="KeywordTok"/>
        </w:rPr>
        <w:t xml:space="preserve">:</w:t>
      </w:r>
      <w:r>
        <w:rPr>
          <w:rStyle w:val="AttributeTok"/>
        </w:rPr>
        <w:t xml:space="preserve"> </w:t>
      </w:r>
      <w:r>
        <w:rPr>
          <w:rStyle w:val="StringTok"/>
        </w:rPr>
        <w:t xml:space="preserve">"jaminan-pemerintah-hak-regres-klaim-kpbu"</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"Jaminan Pemerintah"</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"hak regres"</w:t>
      </w:r>
      <w:r>
        <w:br/>
      </w:r>
      <w:r>
        <w:rPr>
          <w:rStyle w:val="AttributeTok"/>
        </w:rPr>
        <w:t xml:space="preserve">  </w:t>
      </w:r>
      <w:r>
        <w:rPr>
          <w:rStyle w:val="KeywordTok"/>
        </w:rPr>
        <w:t xml:space="preserve">-</w:t>
      </w:r>
      <w:r>
        <w:rPr>
          <w:rStyle w:val="AttributeTok"/>
        </w:rPr>
        <w:t xml:space="preserve"> </w:t>
      </w:r>
      <w:r>
        <w:rPr>
          <w:rStyle w:val="StringTok"/>
        </w:rPr>
        <w:t xml:space="preserve">"perjanjian regres"</w:t>
      </w:r>
      <w:r>
        <w:br/>
      </w:r>
      <w:r>
        <w:rPr>
          <w:rStyle w:val="AttributeTok"/>
        </w:rPr>
        <w:t xml:space="preserve">  </w:t>
      </w:r>
      <w:r>
        <w:rPr>
          <w:rStyle w:val="KeywordTok"/>
        </w:rPr>
        <w:t xml:space="preserve">-</w:t>
      </w:r>
      <w:r>
        <w:rPr>
          <w:rStyle w:val="AttributeTok"/>
        </w:rPr>
        <w:t xml:space="preserve"> </w:t>
      </w:r>
      <w:r>
        <w:rPr>
          <w:rStyle w:val="StringTok"/>
        </w:rPr>
        <w:t xml:space="preserve">"klaim penjaminan"</w:t>
      </w:r>
      <w:r>
        <w:br/>
      </w:r>
      <w:r>
        <w:rPr>
          <w:rStyle w:val="AttributeTok"/>
        </w:rPr>
        <w:t xml:space="preserve">  </w:t>
      </w:r>
      <w:r>
        <w:rPr>
          <w:rStyle w:val="KeywordTok"/>
        </w:rPr>
        <w:t xml:space="preserve">-</w:t>
      </w:r>
      <w:r>
        <w:rPr>
          <w:rStyle w:val="AttributeTok"/>
        </w:rPr>
        <w:t xml:space="preserve"> </w:t>
      </w:r>
      <w:r>
        <w:rPr>
          <w:rStyle w:val="StringTok"/>
        </w:rPr>
        <w:t xml:space="preserve">"kewajiban kontinjensi"</w:t>
      </w:r>
      <w:r>
        <w:br/>
      </w:r>
      <w:r>
        <w:rPr>
          <w:rStyle w:val="AttributeTok"/>
        </w:rPr>
        <w:t xml:space="preserve">  </w:t>
      </w:r>
      <w:r>
        <w:rPr>
          <w:rStyle w:val="KeywordTok"/>
        </w:rPr>
        <w:t xml:space="preserve">-</w:t>
      </w:r>
      <w:r>
        <w:rPr>
          <w:rStyle w:val="AttributeTok"/>
        </w:rPr>
        <w:t xml:space="preserve"> </w:t>
      </w:r>
      <w:r>
        <w:rPr>
          <w:rStyle w:val="StringTok"/>
        </w:rPr>
        <w:t xml:space="preserve">"ring-fence APBN"</w:t>
      </w:r>
      <w:r>
        <w:br/>
      </w:r>
      <w:r>
        <w:rPr>
          <w:rStyle w:val="AttributeTok"/>
        </w:rPr>
        <w:t xml:space="preserve">  </w:t>
      </w:r>
      <w:r>
        <w:rPr>
          <w:rStyle w:val="KeywordTok"/>
        </w:rPr>
        <w:t xml:space="preserve">-</w:t>
      </w:r>
      <w:r>
        <w:rPr>
          <w:rStyle w:val="AttributeTok"/>
        </w:rPr>
        <w:t xml:space="preserve"> </w:t>
      </w:r>
      <w:r>
        <w:rPr>
          <w:rStyle w:val="StringTok"/>
        </w:rPr>
        <w:t xml:space="preserve">"risiko fiskal"</w:t>
      </w:r>
      <w:r>
        <w:br/>
      </w:r>
      <w:r>
        <w:rPr>
          <w:rStyle w:val="AttributeTok"/>
        </w:rPr>
        <w:t xml:space="preserve">  </w:t>
      </w:r>
      <w:r>
        <w:rPr>
          <w:rStyle w:val="KeywordTok"/>
        </w:rPr>
        <w:t xml:space="preserve">-</w:t>
      </w:r>
      <w:r>
        <w:rPr>
          <w:rStyle w:val="AttributeTok"/>
        </w:rPr>
        <w:t xml:space="preserve"> </w:t>
      </w:r>
      <w:r>
        <w:rPr>
          <w:rStyle w:val="StringTok"/>
        </w:rPr>
        <w:t xml:space="preserve">"PJPK"</w:t>
      </w:r>
      <w:r>
        <w:br/>
      </w:r>
      <w:r>
        <w:rPr>
          <w:rStyle w:val="AttributeTok"/>
        </w:rPr>
        <w:t xml:space="preserve">  </w:t>
      </w:r>
      <w:r>
        <w:rPr>
          <w:rStyle w:val="KeywordTok"/>
        </w:rPr>
        <w:t xml:space="preserve">-</w:t>
      </w:r>
      <w:r>
        <w:rPr>
          <w:rStyle w:val="AttributeTok"/>
        </w:rPr>
        <w:t xml:space="preserve"> </w:t>
      </w:r>
      <w:r>
        <w:rPr>
          <w:rStyle w:val="StringTok"/>
        </w:rPr>
        <w:t xml:space="preserve">"Badan Usaha Pelaksana"</w:t>
      </w:r>
      <w:r>
        <w:br/>
      </w:r>
      <w:r>
        <w:rPr>
          <w:rStyle w:val="AttributeTok"/>
        </w:rPr>
        <w:t xml:space="preserve">  </w:t>
      </w:r>
      <w:r>
        <w:rPr>
          <w:rStyle w:val="KeywordTok"/>
        </w:rPr>
        <w:t xml:space="preserve">-</w:t>
      </w:r>
      <w:r>
        <w:rPr>
          <w:rStyle w:val="AttributeTok"/>
        </w:rPr>
        <w:t xml:space="preserve"> </w:t>
      </w:r>
      <w:r>
        <w:rPr>
          <w:rStyle w:val="StringTok"/>
        </w:rPr>
        <w:t xml:space="preserve">"Badan Usaha Penjaminan Infrastruktur"</w:t>
      </w:r>
      <w:r>
        <w:br/>
      </w:r>
      <w:r>
        <w:rPr>
          <w:rStyle w:val="AttributeTok"/>
        </w:rPr>
        <w:t xml:space="preserve">  </w:t>
      </w:r>
      <w:r>
        <w:rPr>
          <w:rStyle w:val="KeywordTok"/>
        </w:rPr>
        <w:t xml:space="preserve">-</w:t>
      </w:r>
      <w:r>
        <w:rPr>
          <w:rStyle w:val="AttributeTok"/>
        </w:rPr>
        <w:t xml:space="preserve"> </w:t>
      </w:r>
      <w:r>
        <w:rPr>
          <w:rStyle w:val="StringTok"/>
        </w:rPr>
        <w:t xml:space="preserve">"kompensasi finansial"</w:t>
      </w:r>
      <w:r>
        <w:br/>
      </w:r>
      <w:r>
        <w:rPr>
          <w:rStyle w:val="AttributeTok"/>
        </w:rPr>
        <w:t xml:space="preserve">  </w:t>
      </w:r>
      <w:r>
        <w:rPr>
          <w:rStyle w:val="KeywordTok"/>
        </w:rPr>
        <w:t xml:space="preserve">-</w:t>
      </w:r>
      <w:r>
        <w:rPr>
          <w:rStyle w:val="AttributeTok"/>
        </w:rPr>
        <w:t xml:space="preserve"> </w:t>
      </w:r>
      <w:r>
        <w:rPr>
          <w:rStyle w:val="StringTok"/>
        </w:rPr>
        <w:t xml:space="preserve">"single window penjaminan"</w:t>
      </w:r>
      <w:r>
        <w:br/>
      </w:r>
      <w:r>
        <w:rPr>
          <w:rStyle w:val="AttributeTok"/>
        </w:rPr>
        <w:t xml:space="preserve">  </w:t>
      </w:r>
      <w:r>
        <w:rPr>
          <w:rStyle w:val="KeywordTok"/>
        </w:rPr>
        <w:t xml:space="preserve">-</w:t>
      </w:r>
      <w:r>
        <w:rPr>
          <w:rStyle w:val="AttributeTok"/>
        </w:rPr>
        <w:t xml:space="preserve"> </w:t>
      </w:r>
      <w:r>
        <w:rPr>
          <w:rStyle w:val="StringTok"/>
        </w:rPr>
        <w:t xml:space="preserve">"co-guarantee"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"https://www.ptpii.co.id/kpbu"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"jaminan pemerintah pada proyek KPBU"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"https://www.ptpii.co.id/pembiayaan-kreatif"</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"pembiayaan kreatif untuk proyek daerah"</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"https://www.ptpii.co.id/public-private-partnership"</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"kerangka public private partnership"</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"https://kpbu.kemenkeu.go.id/read/64-64/pjpk/dukungan-pemerintah/penjaminan-infrastruktur"</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kanonis Penjaminan Infrastruktur, kebijakan single window, dan kerangka co-guarantee Kementerian Keuangan"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"https://peraturan.go.id/id/perpres-no-78-tahun-2010"</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"Status berlaku Perpres No. 78 Tahun 2010 sebagai payung hukum penjaminan infrastruktur"</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"https://jdih.kemenkeu.go.id/dok/pmk-68-tahun-2024"</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"PMK No. 68 Tahun 2024 sebagai aturan pelaksana yang berlaku dan pencabutan PMK 260/PMK.011/2010"</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"https://kpbu.kemenkeu.go.id/berita/read/1632"</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"Bukti praktik penandatanganan Perjanjian Regres bersamaan dengan Perjanjian Penjaminan (Oktober 2023)"</w:t>
      </w:r>
      <w:r>
        <w:br/>
      </w:r>
      <w:r>
        <w:rPr>
          <w:rStyle w:val="FunctionTok"/>
        </w:rPr>
        <w:t xml:space="preserve">brief_id</w:t>
      </w:r>
      <w:r>
        <w:rPr>
          <w:rStyle w:val="KeywordTok"/>
        </w:rPr>
        <w:t xml:space="preserve">:</w:t>
      </w:r>
      <w:r>
        <w:rPr>
          <w:rStyle w:val="AttributeTok"/>
        </w:rPr>
        <w:t xml:space="preserve"> </w:t>
      </w:r>
      <w:r>
        <w:rPr>
          <w:rStyle w:val="StringTok"/>
        </w:rPr>
        <w:t xml:space="preserve">"jaminan-pemerintah-03"</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date_modified</w:t>
      </w:r>
      <w:r>
        <w:rPr>
          <w:rStyle w:val="KeywordTok"/>
        </w:rPr>
        <w:t xml:space="preserve">:</w:t>
      </w:r>
      <w:r>
        <w:rPr>
          <w:rStyle w:val="AttributeTok"/>
        </w:rPr>
        <w:t xml:space="preserve"> </w:t>
      </w:r>
      <w:r>
        <w:rPr>
          <w:rStyle w:val="StringTok"/>
        </w:rPr>
        <w:t xml:space="preserve">"2026-08-12"</w:t>
      </w:r>
      <w:r>
        <w:br/>
      </w:r>
      <w:r>
        <w:rPr>
          <w:rStyle w:val="FunctionTok"/>
        </w:rPr>
        <w:t xml:space="preserve">word_count</w:t>
      </w:r>
      <w:r>
        <w:rPr>
          <w:rStyle w:val="KeywordTok"/>
        </w:rPr>
        <w:t xml:space="preserve">:</w:t>
      </w:r>
      <w:r>
        <w:rPr>
          <w:rStyle w:val="AttributeTok"/>
        </w:rPr>
        <w:t xml:space="preserve"> </w:t>
      </w:r>
      <w:r>
        <w:rPr>
          <w:rStyle w:val="DecValTok"/>
        </w:rPr>
        <w:t xml:space="preserve">1633</w:t>
      </w:r>
    </w:p>
    <w:p>
      <w:r>
        <w:pict>
          <v:rect style="width:0;height:1.5pt" o:hralign="center" o:hrstd="t" o:hr="t"/>
        </w:pict>
      </w:r>
    </w:p>
    <w:bookmarkEnd w:id="16"/>
    <w:bookmarkStart w:id="37" w:name="X36a5837815b95504411a84a45d3ba06f900bec0"/>
    <w:p>
      <w:pPr>
        <w:pStyle w:val="Heading1"/>
      </w:pPr>
      <w:r>
        <w:t xml:space="preserve">Klaim Jaminan Pemerintah di Proyek KPBU: Bagaimana Hak Regres Bekerja</w:t>
      </w:r>
    </w:p>
    <w:p>
      <w:pPr>
        <w:pStyle w:val="FirstParagraph"/>
      </w:pPr>
      <w:r>
        <w:t xml:space="preserve">Menjelang</w:t>
      </w:r>
      <w:r>
        <w:t xml:space="preserve"> </w:t>
      </w:r>
      <w:r>
        <w:rPr>
          <w:i/>
          <w:iCs/>
        </w:rPr>
        <w:t xml:space="preserve">financial close</w:t>
      </w:r>
      <w:r>
        <w:t xml:space="preserve"> </w:t>
      </w:r>
      <w:r>
        <w:t xml:space="preserve">(penutupan pembiayaan), dua dokumen ditandatangani berdekatan: Perjanjian Penjaminan dan Perjanjian Regres. Yang kedua jarang dibaca serius. Padahal di sanalah jawaban atas pertanyaan yang menentukan ruang fiskal satu dekade ke depan: kalau klaim cair, uang itu berhenti di mana? Konteksnya</w:t>
      </w:r>
      <w:r>
        <w:t xml:space="preserve"> </w:t>
      </w:r>
      <w:hyperlink r:id="rId17">
        <w:r>
          <w:rPr>
            <w:rStyle w:val="Hyperlink"/>
          </w:rPr>
          <w:t xml:space="preserve">jaminan pemerintah pada proyek KPBU</w:t>
        </w:r>
      </w:hyperlink>
      <w:r>
        <w:t xml:space="preserve">: bukan jaminan sosial, bukan agunan kebendaan, bukan jaminan pelaksanaan dalam lelang. Tulisan ini mengikuti uangnya sejak klaim diajukan sampai penanggung akhir.</w:t>
      </w:r>
    </w:p>
    <w:p>
      <w:pPr>
        <w:pStyle w:val="BlockText"/>
      </w:pPr>
      <w:r>
        <w:rPr>
          <w:b/>
          <w:bCs/>
        </w:rPr>
        <w:t xml:space="preserve">Ringkasnya:</w:t>
      </w:r>
      <w:r>
        <w:t xml:space="preserve"> </w:t>
      </w:r>
      <w:r>
        <w:t xml:space="preserve">Hak regres dalam jaminan pemerintah adalah hak penjamin, yaitu Badan Usaha Penjaminan Infrastruktur (BUPI), untuk menagih kembali dana kompensasi yang telah dibayarkannya kepada Badan Usaha Pelaksana, dari Penanggung Jawab Proyek Kerja Sama (PJPK) yang bertanggung jawab atas risiko tersebut. Hak ini dituangkan dalam Perjanjian Regres yang ditandatangani bersamaan dengan Perjanjian Penjaminan proyek KPBU.</w:t>
      </w:r>
    </w:p>
    <w:bookmarkStart w:id="21" w:name="X93e7641b471040ef161960a3424c6ee981057a9"/>
    <w:p>
      <w:pPr>
        <w:pStyle w:val="Heading2"/>
      </w:pPr>
      <w:r>
        <w:t xml:space="preserve">Apa yang terjadi ketika klaim jaminan pemerintah diajukan pada proyek KPBU?</w:t>
      </w:r>
    </w:p>
    <w:p>
      <w:pPr>
        <w:pStyle w:val="FirstParagraph"/>
      </w:pPr>
      <w:r>
        <w:t xml:space="preserve">Ketika risiko yang menjadi tanggung jawab pemerintah terjadi, Badan Usaha Pelaksana mengajukan klaim kepada penjamin dengan merujuk Perjanjian Penjaminan. Penjamin memverifikasi apakah peristiwa itu termasuk risiko yang dijamin sesuai alokasi dalam perjanjian KPBU (</w:t>
      </w:r>
      <w:r>
        <w:rPr>
          <w:i/>
          <w:iCs/>
        </w:rPr>
        <w:t xml:space="preserve">Kerja Sama Pemerintah dengan Badan Usaha</w:t>
      </w:r>
      <w:r>
        <w:t xml:space="preserve">), lalu membayarkan kompensasi finansial. Pembayaran itu bukan titik akhir.</w:t>
      </w:r>
    </w:p>
    <w:p>
      <w:pPr>
        <w:pStyle w:val="BodyText"/>
      </w:pPr>
      <w:r>
        <w:t xml:space="preserve">Yang dijamin adalah kewajiban finansial PJPK, bukan keberhasilan proyek.</w:t>
      </w:r>
      <w:r>
        <w:t xml:space="preserve"> </w:t>
      </w:r>
      <w:hyperlink r:id="rId18">
        <w:r>
          <w:rPr>
            <w:rStyle w:val="Hyperlink"/>
          </w:rPr>
          <w:t xml:space="preserve">Kantor Bersama KPBU Kementerian Keuangan</w:t>
        </w:r>
      </w:hyperlink>
      <w:r>
        <w:t xml:space="preserve"> </w:t>
      </w:r>
      <w:r>
        <w:t xml:space="preserve">merumuskannya sebagai jaminan atas kewajiban finansial PJPK membayar kompensasi kepada badan usaha saat risiko infrastruktur terjadi, sesuai alokasi yang disepakati dalam perjanjian KPBU (diakses 2026). Ada dua batasan di sana: pemicunya hanya risiko yang alokasinya jatuh ke pemerintah, dan ukurannya kompensasi yang sudah diperjanjikan.</w:t>
      </w:r>
    </w:p>
    <w:p>
      <w:pPr>
        <w:pStyle w:val="BodyText"/>
      </w:pPr>
      <w:r>
        <w:t xml:space="preserve">Payung hukumnya Perpres No. 78 Tahun 2010 tentang Penjaminan Infrastruktur, yang</w:t>
      </w:r>
      <w:r>
        <w:t xml:space="preserve"> </w:t>
      </w:r>
      <w:hyperlink r:id="rId19">
        <w:r>
          <w:rPr>
            <w:rStyle w:val="Hyperlink"/>
          </w:rPr>
          <w:t xml:space="preserve">berstatus berlaku</w:t>
        </w:r>
      </w:hyperlink>
      <w:r>
        <w:t xml:space="preserve"> </w:t>
      </w:r>
      <w:r>
        <w:t xml:space="preserve">per verifikasi basis data peraturan resmi 2026. Aturan pelaksananya kini</w:t>
      </w:r>
      <w:r>
        <w:t xml:space="preserve"> </w:t>
      </w:r>
      <w:hyperlink r:id="rId20">
        <w:r>
          <w:rPr>
            <w:rStyle w:val="Hyperlink"/>
          </w:rPr>
          <w:t xml:space="preserve">PMK No. 68 Tahun 2024</w:t>
        </w:r>
      </w:hyperlink>
      <w:r>
        <w:t xml:space="preserve">, berlaku sejak 18 Oktober 2024, yang mencabut PMK No. 260/PMK.011/2010. Rujukan lama itu masih terbaca di beberapa halaman portal; itu kelambatan pemutakhiran, bukan tanda aturannya masih hidup.</w:t>
      </w:r>
    </w:p>
    <w:bookmarkEnd w:id="21"/>
    <w:bookmarkStart w:id="22" w:name="X7513ca2627f38554582b161bf56284ba3b825e3"/>
    <w:p>
      <w:pPr>
        <w:pStyle w:val="Heading2"/>
      </w:pPr>
      <w:r>
        <w:t xml:space="preserve">Alur klaim: dari peristiwa risiko sampai kompensasi dibayar</w:t>
      </w:r>
    </w:p>
    <w:p>
      <w:pPr>
        <w:pStyle w:val="FirstParagraph"/>
      </w:pPr>
      <w:r>
        <w:t xml:space="preserve">Alurnya bergerak dalam enam langkah: peristiwa risiko terjadi, Badan Usaha Pelaksana mengajukan klaim, penjamin memverifikasi klaim terhadap perjanjian, kompensasi finansial dibayarkan, hak regres diaktifkan, dan PJPK mengembalikan dana sesuai Perjanjian Regres. Tenggat tiap langkah tidak dipublikasikan secara terbuka, sehingga urutannya perlu dibaca sebagai struktur, bukan jadwal.</w:t>
      </w:r>
    </w:p>
    <w:p>
      <w:pPr>
        <w:pStyle w:val="BodyText"/>
      </w:pPr>
      <w:r>
        <w:t xml:space="preserve">Penelusuran peta situs portal KPBU Kementerian Keuangan pada 2026 tidak menemukan satu pun halaman prosedural khusus tentang klaim atau kompensasi. Urutan di bawah adalah rekonstruksi beralasan dari definisi resmi dan praktik kontrak yang terdokumentasi, bukan kutipan pasal.</w:t>
      </w:r>
    </w:p>
    <w:p>
      <w:pPr>
        <w:pStyle w:val="Compact"/>
        <w:numPr>
          <w:ilvl w:val="0"/>
          <w:numId w:val="1001"/>
        </w:numPr>
      </w:pPr>
      <w:r>
        <w:rPr>
          <w:b/>
          <w:bCs/>
        </w:rPr>
        <w:t xml:space="preserve">Peristiwa risiko terjadi.</w:t>
      </w:r>
      <w:r>
        <w:t xml:space="preserve"> </w:t>
      </w:r>
      <w:r>
        <w:t xml:space="preserve">Risiko yang menurut perjanjian KPBU menjadi tanggung jawab pemerintah terwujud, misalnya keterlambatan persetujuan pemerintah atau perubahan hukum yang diskriminatif terhadap proyek.</w:t>
      </w:r>
    </w:p>
    <w:p>
      <w:pPr>
        <w:pStyle w:val="Compact"/>
        <w:numPr>
          <w:ilvl w:val="0"/>
          <w:numId w:val="1001"/>
        </w:numPr>
      </w:pPr>
      <w:r>
        <w:rPr>
          <w:b/>
          <w:bCs/>
        </w:rPr>
        <w:t xml:space="preserve">Klaim diajukan.</w:t>
      </w:r>
      <w:r>
        <w:t xml:space="preserve"> </w:t>
      </w:r>
      <w:r>
        <w:t xml:space="preserve">Badan Usaha Pelaksana menyampaikan klaim kepada penjamin dengan merujuk Perjanjian Penjaminan proyek tersebut. Seluruh urusan penjaminan berjalan lewat satu pintu (</w:t>
      </w:r>
      <w:r>
        <w:rPr>
          <w:i/>
          <w:iCs/>
        </w:rPr>
        <w:t xml:space="preserve">single window</w:t>
      </w:r>
      <w:r>
        <w:t xml:space="preserve">).</w:t>
      </w:r>
    </w:p>
    <w:p>
      <w:pPr>
        <w:pStyle w:val="Compact"/>
        <w:numPr>
          <w:ilvl w:val="0"/>
          <w:numId w:val="1001"/>
        </w:numPr>
      </w:pPr>
      <w:r>
        <w:rPr>
          <w:b/>
          <w:bCs/>
        </w:rPr>
        <w:t xml:space="preserve">Verifikasi.</w:t>
      </w:r>
      <w:r>
        <w:t xml:space="preserve"> </w:t>
      </w:r>
      <w:r>
        <w:t xml:space="preserve">Penjamin menilai apakah peristiwa yang diklaim termasuk risiko yang dijamin dan sesuai alokasi yang disepakati. Kualitas dokumen proyek menentukan seberapa cepat tahap ini selesai.</w:t>
      </w:r>
    </w:p>
    <w:p>
      <w:pPr>
        <w:pStyle w:val="Compact"/>
        <w:numPr>
          <w:ilvl w:val="0"/>
          <w:numId w:val="1001"/>
        </w:numPr>
      </w:pPr>
      <w:r>
        <w:rPr>
          <w:b/>
          <w:bCs/>
        </w:rPr>
        <w:t xml:space="preserve">Kompensasi dibayarkan.</w:t>
      </w:r>
      <w:r>
        <w:t xml:space="preserve"> </w:t>
      </w:r>
      <w:r>
        <w:t xml:space="preserve">Kompensasi finansial dibayarkan kepada Badan Usaha Pelaksana. Bila kebutuhan penjaminan melampaui kapasitas modal penjamin, Kementerian Keuangan dapat ikut menjamin bersama (</w:t>
      </w:r>
      <w:r>
        <w:rPr>
          <w:i/>
          <w:iCs/>
        </w:rPr>
        <w:t xml:space="preserve">co-guarantee</w:t>
      </w:r>
      <w:r>
        <w:t xml:space="preserve">).</w:t>
      </w:r>
    </w:p>
    <w:p>
      <w:pPr>
        <w:pStyle w:val="Compact"/>
        <w:numPr>
          <w:ilvl w:val="0"/>
          <w:numId w:val="1001"/>
        </w:numPr>
      </w:pPr>
      <w:r>
        <w:rPr>
          <w:b/>
          <w:bCs/>
        </w:rPr>
        <w:t xml:space="preserve">Hak regres aktif.</w:t>
      </w:r>
      <w:r>
        <w:t xml:space="preserve"> </w:t>
      </w:r>
      <w:r>
        <w:t xml:space="preserve">Penjamin menagihkan kembali dana itu kepada PJPK, berdasarkan Perjanjian Regres yang sudah ada sejak</w:t>
      </w:r>
      <w:r>
        <w:t xml:space="preserve"> </w:t>
      </w:r>
      <w:r>
        <w:rPr>
          <w:i/>
          <w:iCs/>
        </w:rPr>
        <w:t xml:space="preserve">financial close</w:t>
      </w:r>
      <w:r>
        <w:t xml:space="preserve">.</w:t>
      </w:r>
    </w:p>
    <w:p>
      <w:pPr>
        <w:pStyle w:val="Compact"/>
        <w:numPr>
          <w:ilvl w:val="0"/>
          <w:numId w:val="1001"/>
        </w:numPr>
      </w:pPr>
      <w:r>
        <w:rPr>
          <w:b/>
          <w:bCs/>
        </w:rPr>
        <w:t xml:space="preserve">PJPK mengembalikan dana.</w:t>
      </w:r>
      <w:r>
        <w:t xml:space="preserve"> </w:t>
      </w:r>
      <w:r>
        <w:t xml:space="preserve">Kewajiban ini membebani anggaran PJPK. Di sinilah ruang fiskal yang disiapkan sejak tahap penyiapan menentukan seberapa mulus prosesnya.</w:t>
      </w:r>
    </w:p>
    <w:bookmarkEnd w:id="22"/>
    <w:bookmarkStart w:id="25" w:name="X948ba726a0bac45a6e6034b8e0b194a02088531"/>
    <w:p>
      <w:pPr>
        <w:pStyle w:val="Heading2"/>
      </w:pPr>
      <w:r>
        <w:t xml:space="preserve">Apa itu hak regres, dan mengapa penting bagi PJPK?</w:t>
      </w:r>
    </w:p>
    <w:p>
      <w:pPr>
        <w:pStyle w:val="FirstParagraph"/>
      </w:pPr>
      <w:r>
        <w:t xml:space="preserve">Hak regres adalah hak penjamin menagih kembali dana kompensasi yang telah dibayarkan, kepada PJPK yang bertanggung jawab atas risiko tersebut. Akibatnya, jaminan pemerintah memindahkan waktu dan kepastian pembayaran kepada Badan Usaha Pelaksana, bukan memindahkan tanggung jawab akhirnya. Tanggung jawab itu tetap melekat pada PJPK.</w:t>
      </w:r>
    </w:p>
    <w:p>
      <w:pPr>
        <w:pStyle w:val="BodyText"/>
      </w:pPr>
      <w:r>
        <w:t xml:space="preserve">Dalam praktik, PJPK dan penjamin menandatangani Perjanjian Regres bersamaan dengan Perjanjian Penjaminan, di sekitar</w:t>
      </w:r>
      <w:r>
        <w:t xml:space="preserve"> </w:t>
      </w:r>
      <w:r>
        <w:rPr>
          <w:i/>
          <w:iCs/>
        </w:rPr>
        <w:t xml:space="preserve">financial close</w:t>
      </w:r>
      <w:r>
        <w:t xml:space="preserve">. Sejumlah berita resmi penandatanganan yang dipublikasikan</w:t>
      </w:r>
      <w:r>
        <w:t xml:space="preserve"> </w:t>
      </w:r>
      <w:hyperlink r:id="rId23">
        <w:r>
          <w:rPr>
            <w:rStyle w:val="Hyperlink"/>
          </w:rPr>
          <w:t xml:space="preserve">portal KPBU Kementerian Keuangan pada Oktober 2023</w:t>
        </w:r>
      </w:hyperlink>
      <w:r>
        <w:t xml:space="preserve"> </w:t>
      </w:r>
      <w:r>
        <w:t xml:space="preserve">memperlihatkan pola yang sama, baik ketika PJPK-nya sebuah kementerian maupun pemerintah kabupaten. Keduanya kontrak terpisah: Perjanjian Penjaminan mengikat penjamin dengan Badan Usaha Pelaksana, Perjanjian Regres mengikat penjamin dengan PJPK.</w:t>
      </w:r>
    </w:p>
    <w:p>
      <w:pPr>
        <w:pStyle w:val="BodyText"/>
      </w:pPr>
      <w:r>
        <w:t xml:space="preserve">Konsekuensinya konkret. Ruang fiskal untuk kemungkinan regres perlu diperhitungkan sejak tahap penyiapan, bukan pada saat klaim muncul. Bagi PJPK daerah dengan APBD yang sudah padat, pertanyaan ini muncul jauh sebelum lelang, dan menjadi salah satu alasan pemerintah daerah menimbang</w:t>
      </w:r>
      <w:r>
        <w:t xml:space="preserve"> </w:t>
      </w:r>
      <w:hyperlink r:id="rId24">
        <w:r>
          <w:rPr>
            <w:rStyle w:val="Hyperlink"/>
          </w:rPr>
          <w:t xml:space="preserve">pembiayaan kreatif untuk proyek daerah</w:t>
        </w:r>
      </w:hyperlink>
      <w:r>
        <w:t xml:space="preserve"> </w:t>
      </w:r>
      <w:r>
        <w:t xml:space="preserve">sebagai bagian dari struktur pendanaan.</w:t>
      </w:r>
    </w:p>
    <w:p>
      <w:pPr>
        <w:pStyle w:val="BodyText"/>
      </w:pPr>
      <w:r>
        <w:t xml:space="preserve">Ini sering disalahpahami: hak regres adalah hak untuk menagih, bukan kepastian bahwa dana kembali utuh dan tepat waktu. Kapasitas fiskal PJPK tetap menjadi risiko tersendiri.</w:t>
      </w:r>
    </w:p>
    <w:p>
      <w:pPr>
        <w:pStyle w:val="BodyText"/>
      </w:pPr>
      <w:r>
        <w:t xml:space="preserve">Dari sisi</w:t>
      </w:r>
      <w:r>
        <w:t xml:space="preserve"> </w:t>
      </w:r>
      <w:r>
        <w:rPr>
          <w:i/>
          <w:iCs/>
        </w:rPr>
        <w:t xml:space="preserve">lender</w:t>
      </w:r>
      <w:r>
        <w:t xml:space="preserve"> </w:t>
      </w:r>
      <w:r>
        <w:t xml:space="preserve">dan analis kredit, yang diperoleh bukan pengalihan tanggung jawab fiskal, melainkan eksposur kepada pihak dengan kualitas kredit lebih tinggi dan pembayaran yang lebih pasti. BUPI di Indonesia berperingkat BBB pada skala internasional dan AAA(idn) pada skala nasional dengan Outlook Stabil (Fitch Ratings, afirmasi 12 Februari 2026), sementara kemampuan bayar PJPK bervariasi antar-daerah. Kementerian Keuangan menempatkan penjaminan pemerintah sebagai instrumen peningkat kelayakan kredit (</w:t>
      </w:r>
      <w:r>
        <w:rPr>
          <w:i/>
          <w:iCs/>
        </w:rPr>
        <w:t xml:space="preserve">credit enhancing product</w:t>
      </w:r>
      <w:r>
        <w:t xml:space="preserve">) untuk proyek KPBU.</w:t>
      </w:r>
    </w:p>
    <w:bookmarkEnd w:id="25"/>
    <w:bookmarkStart w:id="27" w:name="X665ad5521a7bfa8743140cc3e5014c2b6cc91f7"/>
    <w:p>
      <w:pPr>
        <w:pStyle w:val="Heading2"/>
      </w:pPr>
      <w:r>
        <w:t xml:space="preserve">Bagaimana penjaminan justru memagari APBN</w:t>
      </w:r>
    </w:p>
    <w:p>
      <w:pPr>
        <w:pStyle w:val="FirstParagraph"/>
      </w:pPr>
      <w:r>
        <w:t xml:space="preserve">Kewajiban kontinjensi adalah kewajiban potensial yang timbul dari kejadian masa lalu dan baru menjadi pasti bila peristiwa tertentu di masa depan terjadi. Penjaminan mengubah risiko yang tersebar dan tidak tercatat menjadi eksposur yang terukur, tercatat, dan dipantau di satu tempat. Itulah maksud memagari (</w:t>
      </w:r>
      <w:r>
        <w:rPr>
          <w:i/>
          <w:iCs/>
        </w:rPr>
        <w:t xml:space="preserve">ring-fence</w:t>
      </w:r>
      <w:r>
        <w:t xml:space="preserve">) APBN.</w:t>
      </w:r>
    </w:p>
    <w:p>
      <w:pPr>
        <w:pStyle w:val="BodyText"/>
      </w:pPr>
      <w:r>
        <w:t xml:space="preserve">Rumusan tersebut mengikuti penjelasan Kementerian Keuangan mengenai kewajiban kontinjensi. Standar akuntansi pemerintahan yang menaunginya berada dalam PP No. 71 Tahun 2010, ditetapkan 22 Oktober 2010 dan masih berlaku. Konsekuensi praktisnya sederhana: jaminan tidak dicatat sebagai belanja pada saat diterbitkan, dan baru menjadi belanja bila terpicu.</w:t>
      </w:r>
    </w:p>
    <w:p>
      <w:pPr>
        <w:pStyle w:val="BodyText"/>
      </w:pPr>
      <w:r>
        <w:t xml:space="preserve">Mengapa satu pintu penting? Karena eksposur yang tersebar di banyak kementerian, lembaga, dan pemerintah daerah tidak bisa dijumlahkan, apalagi dipantau. Dengan kebijakan satu pelaksana, seluruh permohonan penjaminan infrastruktur KPBU masuk lewat jalur yang sama dan tercatat dalam satu neraca. Skalanya bukan abstraksi: per publikasi resmi Juni 2026, penjaminan tercatat pada 61 proyek (38 skema KPBU dan 23 non-KPBU) dengan nilai proyek Rp 732 triliun dan nilai penjaminan Rp 113 triliun, angka kumulatif yang berubah tiap publikasi.</w:t>
      </w:r>
    </w:p>
    <w:p>
      <w:pPr>
        <w:pStyle w:val="BodyText"/>
      </w:pPr>
      <w:r>
        <w:t xml:space="preserve">Eksposur ini juga tidak disembunyikan. Pemerintah mengungkapkannya secara berkala lewat Pengungkapan Risiko Fiskal dalam Nota Keuangan; edisi 2025 diterbitkan DJPPR Kementerian Keuangan. Bagi analis yang membaca struktur ini dalam terminologi</w:t>
      </w:r>
      <w:r>
        <w:t xml:space="preserve"> </w:t>
      </w:r>
      <w:hyperlink r:id="rId26">
        <w:r>
          <w:rPr>
            <w:rStyle w:val="Hyperlink"/>
          </w:rPr>
          <w:t xml:space="preserve">kerangka public private partnership</w:t>
        </w:r>
      </w:hyperlink>
      <w:r>
        <w:t xml:space="preserve">, keterbukaan itu bagian dari kualitas kredit proyek.</w:t>
      </w:r>
    </w:p>
    <w:p>
      <w:pPr>
        <w:pStyle w:val="BodyText"/>
      </w:pPr>
      <w:r>
        <w:t xml:space="preserve">Memagari kewajiban kontinjensi pemerintah dan meminimalkan kejutan langsung terhadap APBN memang salah satu tujuan pembentukan Badan Usaha Penjaminan Infrastruktur di bawah Kementerian Keuangan.</w:t>
      </w:r>
    </w:p>
    <w:bookmarkEnd w:id="27"/>
    <w:bookmarkStart w:id="28" w:name="mengapa-jaminan-pemerintah-bukan-subsidi"/>
    <w:p>
      <w:pPr>
        <w:pStyle w:val="Heading2"/>
      </w:pPr>
      <w:r>
        <w:t xml:space="preserve">Mengapa jaminan pemerintah bukan subsidi</w:t>
      </w:r>
    </w:p>
    <w:p>
      <w:pPr>
        <w:pStyle w:val="FirstParagraph"/>
      </w:pPr>
      <w:r>
        <w:t xml:space="preserve">Subsidi adalah belanja yang direncanakan, dianggarkan di muka, dan tidak ditagih kembali. Jaminan pemerintah hanya dibayarkan bila peristiwa risiko terjadi, dicatat sebagai kewajiban kontinjensi, dan dananya ditagihkan kembali kepada PJPK lewat hak regres. Negara memajukan pembayaran; negara tidak menyerap kerugiannya secara permanen.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Aspek</w:t>
            </w:r>
          </w:p>
        </w:tc>
        <w:tc>
          <w:tcPr/>
          <w:p>
            <w:pPr>
              <w:pStyle w:val="Compact"/>
            </w:pPr>
            <w:r>
              <w:t xml:space="preserve">Subsidi</w:t>
            </w:r>
          </w:p>
        </w:tc>
        <w:tc>
          <w:tcPr/>
          <w:p>
            <w:pPr>
              <w:pStyle w:val="Compact"/>
            </w:pPr>
            <w:r>
              <w:t xml:space="preserve">Dukungan Kelayakan (VGF)</w:t>
            </w:r>
          </w:p>
        </w:tc>
        <w:tc>
          <w:tcPr/>
          <w:p>
            <w:pPr>
              <w:pStyle w:val="Compact"/>
            </w:pPr>
            <w:r>
              <w:t xml:space="preserve">Jaminan Pemerintah</w:t>
            </w:r>
          </w:p>
        </w:tc>
      </w:tr>
      <w:tr>
        <w:tc>
          <w:tcPr/>
          <w:p>
            <w:pPr>
              <w:pStyle w:val="Compact"/>
            </w:pPr>
            <w:r>
              <w:t xml:space="preserve">Bentuk pembayaran</w:t>
            </w:r>
          </w:p>
        </w:tc>
        <w:tc>
          <w:tcPr/>
          <w:p>
            <w:pPr>
              <w:pStyle w:val="Compact"/>
            </w:pPr>
            <w:r>
              <w:t xml:space="preserve">Belanja tunai terjadwal</w:t>
            </w:r>
          </w:p>
        </w:tc>
        <w:tc>
          <w:tcPr/>
          <w:p>
            <w:pPr>
              <w:pStyle w:val="Compact"/>
            </w:pPr>
            <w:r>
              <w:t xml:space="preserve">Kontribusi tunai sebagian biaya konstruksi</w:t>
            </w:r>
          </w:p>
        </w:tc>
        <w:tc>
          <w:tcPr/>
          <w:p>
            <w:pPr>
              <w:pStyle w:val="Compact"/>
            </w:pPr>
            <w:r>
              <w:t xml:space="preserve">Kompensasi finansial, hanya bila risiko terjadi</w:t>
            </w:r>
          </w:p>
        </w:tc>
      </w:tr>
      <w:tr>
        <w:tc>
          <w:tcPr/>
          <w:p>
            <w:pPr>
              <w:pStyle w:val="Compact"/>
            </w:pPr>
            <w:r>
              <w:t xml:space="preserve">Kapan dibayar</w:t>
            </w:r>
          </w:p>
        </w:tc>
        <w:tc>
          <w:tcPr/>
          <w:p>
            <w:pPr>
              <w:pStyle w:val="Compact"/>
            </w:pPr>
            <w:r>
              <w:t xml:space="preserve">Direncanakan di muka</w:t>
            </w:r>
          </w:p>
        </w:tc>
        <w:tc>
          <w:tcPr/>
          <w:p>
            <w:pPr>
              <w:pStyle w:val="Compact"/>
            </w:pPr>
            <w:r>
              <w:t xml:space="preserve">Umumnya selama masa konstruksi</w:t>
            </w:r>
          </w:p>
        </w:tc>
        <w:tc>
          <w:tcPr/>
          <w:p>
            <w:pPr>
              <w:pStyle w:val="Compact"/>
            </w:pPr>
            <w:r>
              <w:t xml:space="preserve">Tidak pasti, bergantung pemicu risiko</w:t>
            </w:r>
          </w:p>
        </w:tc>
      </w:tr>
      <w:tr>
        <w:tc>
          <w:tcPr/>
          <w:p>
            <w:pPr>
              <w:pStyle w:val="Compact"/>
            </w:pPr>
            <w:r>
              <w:t xml:space="preserve">Ditagih kembali?</w:t>
            </w:r>
          </w:p>
        </w:tc>
        <w:tc>
          <w:tcPr/>
          <w:p>
            <w:pPr>
              <w:pStyle w:val="Compact"/>
            </w:pPr>
            <w:r>
              <w:t xml:space="preserve">Tidak</w:t>
            </w:r>
          </w:p>
        </w:tc>
        <w:tc>
          <w:tcPr/>
          <w:p>
            <w:pPr>
              <w:pStyle w:val="Compact"/>
            </w:pPr>
            <w:r>
              <w:t xml:space="preserve">Tidak</w:t>
            </w:r>
          </w:p>
        </w:tc>
        <w:tc>
          <w:tcPr/>
          <w:p>
            <w:pPr>
              <w:pStyle w:val="Compact"/>
            </w:pPr>
            <w:r>
              <w:rPr>
                <w:b/>
                <w:bCs/>
              </w:rPr>
              <w:t xml:space="preserve">Ya</w:t>
            </w:r>
            <w:r>
              <w:t xml:space="preserve">, melalui hak regres terhadap PJPK</w:t>
            </w:r>
          </w:p>
        </w:tc>
      </w:tr>
      <w:tr>
        <w:tc>
          <w:tcPr/>
          <w:p>
            <w:pPr>
              <w:pStyle w:val="Compact"/>
            </w:pPr>
            <w:r>
              <w:t xml:space="preserve">Pencatatan APBN</w:t>
            </w:r>
          </w:p>
        </w:tc>
        <w:tc>
          <w:tcPr/>
          <w:p>
            <w:pPr>
              <w:pStyle w:val="Compact"/>
            </w:pPr>
            <w:r>
              <w:t xml:space="preserve">Belanja aktual</w:t>
            </w:r>
          </w:p>
        </w:tc>
        <w:tc>
          <w:tcPr/>
          <w:p>
            <w:pPr>
              <w:pStyle w:val="Compact"/>
            </w:pPr>
            <w:r>
              <w:t xml:space="preserve">Belanja aktual</w:t>
            </w:r>
          </w:p>
        </w:tc>
        <w:tc>
          <w:tcPr/>
          <w:p>
            <w:pPr>
              <w:pStyle w:val="Compact"/>
            </w:pPr>
            <w:r>
              <w:t xml:space="preserve">Kewajiban kontinjensi</w:t>
            </w:r>
          </w:p>
        </w:tc>
      </w:tr>
    </w:tbl>
    <w:p>
      <w:pPr>
        <w:pStyle w:val="BodyText"/>
      </w:pPr>
      <w:r>
        <w:t xml:space="preserve">Pembedaan ini punya sisi yang kurang menyenangkan bagi sponsor proyek, dan sebaiknya disampaikan sejak awal. Jaminan pemerintah tidak menyentuh risiko komersial Badan Usaha Pelaksana. Yang tetap sepenuhnya menjadi tanggungannya antara lain:</w:t>
      </w:r>
    </w:p>
    <w:p>
      <w:pPr>
        <w:pStyle w:val="Compact"/>
        <w:numPr>
          <w:ilvl w:val="0"/>
          <w:numId w:val="1002"/>
        </w:numPr>
      </w:pPr>
      <w:r>
        <w:t xml:space="preserve">permintaan yang meleset dari proyeksi, termasuk asumsi trafik atau volume;</w:t>
      </w:r>
    </w:p>
    <w:p>
      <w:pPr>
        <w:pStyle w:val="Compact"/>
        <w:numPr>
          <w:ilvl w:val="0"/>
          <w:numId w:val="1002"/>
        </w:numPr>
      </w:pPr>
      <w:r>
        <w:t xml:space="preserve">pembengkakan biaya dan keterlambatan konstruksi yang bukan akibat tindakan pemerintah;</w:t>
      </w:r>
    </w:p>
    <w:p>
      <w:pPr>
        <w:pStyle w:val="Compact"/>
        <w:numPr>
          <w:ilvl w:val="0"/>
          <w:numId w:val="1002"/>
        </w:numPr>
      </w:pPr>
      <w:r>
        <w:t xml:space="preserve">kinerja operasi dan pemeliharaan sepanjang masa kerja sama.</w:t>
      </w:r>
    </w:p>
    <w:p>
      <w:pPr>
        <w:pStyle w:val="FirstParagraph"/>
      </w:pPr>
      <w:r>
        <w:t xml:space="preserve">Maka proyek yang kelayakan komersialnya rapuh tidak menjadi layak hanya karena dijamin. Penjaminan menekan biaya ketidakpastian di sisi pemerintah, bukan memperbaiki model bisnis yang tidak berjalan.</w:t>
      </w:r>
    </w:p>
    <w:bookmarkEnd w:id="28"/>
    <w:bookmarkStart w:id="35" w:name="faq-pertanyaan-yang-sering-diajukan"/>
    <w:p>
      <w:pPr>
        <w:pStyle w:val="Heading2"/>
      </w:pPr>
      <w:r>
        <w:t xml:space="preserve">FAQ (Pertanyaan yang Sering Diajukan)</w:t>
      </w:r>
    </w:p>
    <w:bookmarkStart w:id="29" w:name="X89799cf5d2bb2c2cf4b555ab306990487fec7fc"/>
    <w:p>
      <w:pPr>
        <w:pStyle w:val="Heading3"/>
      </w:pPr>
      <w:r>
        <w:t xml:space="preserve">Apa itu hak regres dalam jaminan pemerintah?</w:t>
      </w:r>
    </w:p>
    <w:p>
      <w:pPr>
        <w:pStyle w:val="FirstParagraph"/>
      </w:pPr>
      <w:r>
        <w:t xml:space="preserve">Hak regres adalah hak penjamin menagih kembali kepada PJPK dana kompensasi yang telah dibayarkan kepada Badan Usaha Pelaksana atas risiko yang menjadi tanggung jawab pemerintah. Dalam praktik, hak ini dituangkan dalam Perjanjian Regres yang ditandatangani bersamaan dengan Perjanjian Penjaminan di sekitar</w:t>
      </w:r>
      <w:r>
        <w:t xml:space="preserve"> </w:t>
      </w:r>
      <w:r>
        <w:rPr>
          <w:i/>
          <w:iCs/>
        </w:rPr>
        <w:t xml:space="preserve">financial close</w:t>
      </w:r>
      <w:r>
        <w:t xml:space="preserve">, bukan setelah klaim muncul.</w:t>
      </w:r>
    </w:p>
    <w:bookmarkEnd w:id="29"/>
    <w:bookmarkStart w:id="30" w:name="X9e8cd74dfe3447bf7cf5bd5c501a1708f3944ac"/>
    <w:p>
      <w:pPr>
        <w:pStyle w:val="Heading3"/>
      </w:pPr>
      <w:r>
        <w:t xml:space="preserve">Penjamin artinya apa dalam proyek infrastruktur?</w:t>
      </w:r>
    </w:p>
    <w:p>
      <w:pPr>
        <w:pStyle w:val="FirstParagraph"/>
      </w:pPr>
      <w:r>
        <w:t xml:space="preserve">Penjamin adalah pihak yang menanggung kewajiban finansial pemerintah untuk membayar kompensasi kepada Badan Usaha Pelaksana bila risiko yang dialokasikan kepada pemerintah terjadi, sesuai perjanjian KPBU. Di Indonesia peran itu dijalankan Badan Usaha Penjaminan Infrastruktur di bawah Kementerian Keuangan, bukan perusahaan asuransi atau bank penerbit garansi.</w:t>
      </w:r>
    </w:p>
    <w:bookmarkEnd w:id="30"/>
    <w:bookmarkStart w:id="31" w:name="X5d6bc5d67387c626c198adb548ac432c7cc953f"/>
    <w:p>
      <w:pPr>
        <w:pStyle w:val="Heading3"/>
      </w:pPr>
      <w:r>
        <w:t xml:space="preserve">Bagaimana proses klaim jaminan pemerintah pada proyek KPBU berjalan?</w:t>
      </w:r>
    </w:p>
    <w:p>
      <w:pPr>
        <w:pStyle w:val="FirstParagraph"/>
      </w:pPr>
      <w:r>
        <w:t xml:space="preserve">Badan Usaha Pelaksana mengajukan klaim kepada penjamin dengan merujuk Perjanjian Penjaminan, penjamin memverifikasi apakah peristiwa itu termasuk risiko yang dijamin, lalu kompensasi dibayarkan dan hak regres terhadap PJPK diaktifkan. Prosedur rinci beserta tenggatnya tidak dipublikasikan terbuka; penelusuran portal KPBU Kementerian Keuangan pada 2026 tidak menemukan halaman prosedural khusus.</w:t>
      </w:r>
    </w:p>
    <w:bookmarkEnd w:id="31"/>
    <w:bookmarkStart w:id="32" w:name="X316d317f0bea8a22d819c29ca38ba4a6efaf9a4"/>
    <w:p>
      <w:pPr>
        <w:pStyle w:val="Heading3"/>
      </w:pPr>
      <w:r>
        <w:t xml:space="preserve">Apakah jaminan pemerintah sama dengan subsidi?</w:t>
      </w:r>
    </w:p>
    <w:p>
      <w:pPr>
        <w:pStyle w:val="FirstParagraph"/>
      </w:pPr>
      <w:r>
        <w:t xml:space="preserve">Tidak. Subsidi adalah belanja yang direncanakan dan dianggarkan di muka tanpa kewajiban dikembalikan. Jaminan pemerintah dicatat sebagai kewajiban kontinjensi, hanya dibayarkan bila peristiwa risiko terjadi, dan dananya ditagihkan kembali kepada PJPK melalui hak regres. Jaminan juga tidak menutup risiko komersial badan usaha.</w:t>
      </w:r>
    </w:p>
    <w:bookmarkEnd w:id="32"/>
    <w:bookmarkStart w:id="33" w:name="pt-pii-berada-di-bawah-kementerian-apa"/>
    <w:p>
      <w:pPr>
        <w:pStyle w:val="Heading3"/>
      </w:pPr>
      <w:r>
        <w:t xml:space="preserve">PT PII berada di bawah kementerian apa?</w:t>
      </w:r>
    </w:p>
    <w:p>
      <w:pPr>
        <w:pStyle w:val="FirstParagraph"/>
      </w:pPr>
      <w:r>
        <w:t xml:space="preserve">PT Penjaminan Infrastruktur Indonesia (PT PII) adalah BUMN Persero berstatus Special Mission Vehicle di bawah Kementerian Keuangan, dengan Pemerintah Republik Indonesia c.q. Kementerian Keuangan sebagai pemegang saham. Berbeda dari sebagian besar BUMN, posisinya tidak berada di bawah holding Danantara, melainkan langsung di bawah Kementerian Keuangan.</w:t>
      </w:r>
    </w:p>
    <w:bookmarkEnd w:id="33"/>
    <w:bookmarkStart w:id="34" w:name="X71fe390cca35e96aa404c30823a618a16bcce02"/>
    <w:p>
      <w:pPr>
        <w:pStyle w:val="Heading3"/>
      </w:pPr>
      <w:r>
        <w:t xml:space="preserve">Apakah hak regres membuat negara pasti memperoleh kembali dananya?</w:t>
      </w:r>
    </w:p>
    <w:p>
      <w:pPr>
        <w:pStyle w:val="FirstParagraph"/>
      </w:pPr>
      <w:r>
        <w:t xml:space="preserve">Tidak sepenuhnya. Hak regres adalah hak hukum untuk menagih, bukan kepastian bahwa dana kembali utuh dan tepat waktu. Kapasitas fiskal PJPK, khususnya pemerintah daerah dengan ruang APBD terbatas, tetap menjadi faktor risiko tersendiri. Karena itu kesiapan fiskal dinilai pada tahap penyiapan proyek.</w:t>
      </w:r>
    </w:p>
    <w:bookmarkEnd w:id="34"/>
    <w:bookmarkEnd w:id="35"/>
    <w:bookmarkStart w:id="36" w:name="kesimpulan"/>
    <w:p>
      <w:pPr>
        <w:pStyle w:val="Heading2"/>
      </w:pPr>
      <w:r>
        <w:t xml:space="preserve">Kesimpulan</w:t>
      </w:r>
    </w:p>
    <w:p>
      <w:pPr>
        <w:pStyle w:val="FirstParagraph"/>
      </w:pPr>
      <w:r>
        <w:t xml:space="preserve">Pertanyaan di awal tulisan ini punya jawaban yang sederhana sekaligus menuntut: uang klaim jaminan pemerintah berhenti di PJPK. Penjamin memajukannya agar badan usaha dan pemberi pinjaman memperoleh kepastian, lalu menagihnya kembali sesuai Perjanjian Regres yang sudah ditandatangani sejak</w:t>
      </w:r>
      <w:r>
        <w:t xml:space="preserve"> </w:t>
      </w:r>
      <w:r>
        <w:rPr>
          <w:i/>
          <w:iCs/>
        </w:rPr>
        <w:t xml:space="preserve">financial close</w:t>
      </w:r>
      <w:r>
        <w:t xml:space="preserve">. Kesiapan fiskal PJPK karena itu adalah pekerjaan tahap penyiapan. Struktur itulah yang membuat penjaminan yang diterbitkan PT PII menguatkan kelayakan kredit proyek tanpa berubah menjadi beban permanen APBN, dan diskusi paling produktif biasanya terjadi jauh sebelum dokumen lelang difinalkan.</w:t>
      </w:r>
    </w:p>
    <w:p>
      <w:pPr>
        <w:pStyle w:val="BodyText"/>
      </w:pPr>
      <w:r>
        <w:t xml:space="preserve">Struktur Penjaminan Pemerintah untuk proyek KPBU, termasuk posisi Perjanjian Regres di dalamnya, diuraikan lebih lanjut di ptpii.co.id.</w:t>
      </w:r>
    </w:p>
    <w:bookmarkEnd w:id="36"/>
    <w:bookmarkEnd w:id="37"/>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0" Target="https://jdih.kemenkeu.go.id/dok/pmk-68-tahun-2024" TargetMode="External" /><Relationship Type="http://schemas.openxmlformats.org/officeDocument/2006/relationships/hyperlink" Id="rId23" Target="https://kpbu.kemenkeu.go.id/berita/read/1632" TargetMode="External" /><Relationship Type="http://schemas.openxmlformats.org/officeDocument/2006/relationships/hyperlink" Id="rId18" Target="https://kpbu.kemenkeu.go.id/read/64-64/pjpk/dukungan-pemerintah/penjaminan-infrastruktur" TargetMode="External" /><Relationship Type="http://schemas.openxmlformats.org/officeDocument/2006/relationships/hyperlink" Id="rId19" Target="https://peraturan.go.id/id/perpres-no-78-tahun-2010" TargetMode="External" /><Relationship Type="http://schemas.openxmlformats.org/officeDocument/2006/relationships/hyperlink" Id="rId17" Target="https://www.ptpii.co.id/kpbu" TargetMode="External" /><Relationship Type="http://schemas.openxmlformats.org/officeDocument/2006/relationships/hyperlink" Id="rId24" Target="https://www.ptpii.co.id/pembiayaan-kreatif" TargetMode="External" /><Relationship Type="http://schemas.openxmlformats.org/officeDocument/2006/relationships/hyperlink" Id="rId26" Target="https://www.ptpii.co.id/public-private-partnership" TargetMode="External" /></Relationships>
</file>

<file path=word/_rels/footnotes.xml.rels><?xml version="1.0" encoding="UTF-8"?><Relationships xmlns="http://schemas.openxmlformats.org/package/2006/relationships"><Relationship Type="http://schemas.openxmlformats.org/officeDocument/2006/relationships/hyperlink" Id="rId20" Target="https://jdih.kemenkeu.go.id/dok/pmk-68-tahun-2024" TargetMode="External" /><Relationship Type="http://schemas.openxmlformats.org/officeDocument/2006/relationships/hyperlink" Id="rId23" Target="https://kpbu.kemenkeu.go.id/berita/read/1632" TargetMode="External" /><Relationship Type="http://schemas.openxmlformats.org/officeDocument/2006/relationships/hyperlink" Id="rId18" Target="https://kpbu.kemenkeu.go.id/read/64-64/pjpk/dukungan-pemerintah/penjaminan-infrastruktur" TargetMode="External" /><Relationship Type="http://schemas.openxmlformats.org/officeDocument/2006/relationships/hyperlink" Id="rId19" Target="https://peraturan.go.id/id/perpres-no-78-tahun-2010" TargetMode="External" /><Relationship Type="http://schemas.openxmlformats.org/officeDocument/2006/relationships/hyperlink" Id="rId17" Target="https://www.ptpii.co.id/kpbu" TargetMode="External" /><Relationship Type="http://schemas.openxmlformats.org/officeDocument/2006/relationships/hyperlink" Id="rId24" Target="https://www.ptpii.co.id/pembiayaan-kreatif" TargetMode="External" /><Relationship Type="http://schemas.openxmlformats.org/officeDocument/2006/relationships/hyperlink" Id="rId26" Target="https://www.ptpii.co.id/public-private-partnersh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2026-08-12T09:08:33Z</dcterms:created>
  <dcterms:modified xsi:type="dcterms:W3CDTF">2026-08-12T09:08:33Z</dcterms:modified>
</cp:coreProperties>
</file>

<file path=docProps/custom.xml><?xml version="1.0" encoding="utf-8"?>
<Properties xmlns="http://schemas.openxmlformats.org/officeDocument/2006/custom-properties" xmlns:vt="http://schemas.openxmlformats.org/officeDocument/2006/docPropsVTypes"/>
</file>