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"KPBU: Tahapan Proyek dari Perencanaan hingga Akhir Perjanjian"</w:t>
      </w:r>
      <w:r>
        <w:br/>
      </w:r>
      <w:r>
        <w:rPr>
          <w:rStyle w:val="FunctionTok"/>
        </w:rPr>
        <w:t xml:space="preserve">meta_title</w:t>
      </w:r>
      <w:r>
        <w:rPr>
          <w:rStyle w:val="KeywordTok"/>
        </w:rPr>
        <w:t xml:space="preserve">:</w:t>
      </w:r>
      <w:r>
        <w:rPr>
          <w:rStyle w:val="AttributeTok"/>
        </w:rPr>
        <w:t xml:space="preserve"> </w:t>
      </w:r>
      <w:r>
        <w:rPr>
          <w:rStyle w:val="StringTok"/>
        </w:rPr>
        <w:t xml:space="preserve">"KPBU: 6 Tahapan Proyek dan Aturan yang Berlaku"</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tahapan KPBU: enam tahap dari perencanaan hingga akhir perjanjian, keluaran tiap tahap, dan aturan yang berlaku (Perpres 38/2015, Permen 7/2023)."</w:t>
      </w:r>
      <w:r>
        <w:br/>
      </w:r>
      <w:r>
        <w:rPr>
          <w:rStyle w:val="FunctionTok"/>
        </w:rPr>
        <w:t xml:space="preserve">slug</w:t>
      </w:r>
      <w:r>
        <w:rPr>
          <w:rStyle w:val="KeywordTok"/>
        </w:rPr>
        <w:t xml:space="preserve">:</w:t>
      </w:r>
      <w:r>
        <w:rPr>
          <w:rStyle w:val="AttributeTok"/>
        </w:rPr>
        <w:t xml:space="preserve"> </w:t>
      </w:r>
      <w:r>
        <w:rPr>
          <w:rStyle w:val="StringTok"/>
        </w:rPr>
        <w:t xml:space="preserve">"kpbu-tahapan-proyek-hingga-akhir-perjanjian"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"KPBU"</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"Kerja Sama Pemerintah dengan Badan Usaha"</w:t>
      </w:r>
      <w:r>
        <w:br/>
      </w:r>
      <w:r>
        <w:rPr>
          <w:rStyle w:val="AttributeTok"/>
        </w:rPr>
        <w:t xml:space="preserve">  </w:t>
      </w:r>
      <w:r>
        <w:rPr>
          <w:rStyle w:val="KeywordTok"/>
        </w:rPr>
        <w:t xml:space="preserve">-</w:t>
      </w:r>
      <w:r>
        <w:rPr>
          <w:rStyle w:val="AttributeTok"/>
        </w:rPr>
        <w:t xml:space="preserve"> </w:t>
      </w:r>
      <w:r>
        <w:rPr>
          <w:rStyle w:val="StringTok"/>
        </w:rPr>
        <w:t xml:space="preserve">"tahapan proyek KPBU"</w:t>
      </w:r>
      <w:r>
        <w:br/>
      </w:r>
      <w:r>
        <w:rPr>
          <w:rStyle w:val="AttributeTok"/>
        </w:rPr>
        <w:t xml:space="preserve">  </w:t>
      </w:r>
      <w:r>
        <w:rPr>
          <w:rStyle w:val="KeywordTok"/>
        </w:rPr>
        <w:t xml:space="preserve">-</w:t>
      </w:r>
      <w:r>
        <w:rPr>
          <w:rStyle w:val="AttributeTok"/>
        </w:rPr>
        <w:t xml:space="preserve"> </w:t>
      </w:r>
      <w:r>
        <w:rPr>
          <w:rStyle w:val="StringTok"/>
        </w:rPr>
        <w:t xml:space="preserve">"PJPK"</w:t>
      </w:r>
      <w:r>
        <w:br/>
      </w:r>
      <w:r>
        <w:rPr>
          <w:rStyle w:val="AttributeTok"/>
        </w:rPr>
        <w:t xml:space="preserve">  </w:t>
      </w:r>
      <w:r>
        <w:rPr>
          <w:rStyle w:val="KeywordTok"/>
        </w:rPr>
        <w:t xml:space="preserve">-</w:t>
      </w:r>
      <w:r>
        <w:rPr>
          <w:rStyle w:val="AttributeTok"/>
        </w:rPr>
        <w:t xml:space="preserve"> </w:t>
      </w:r>
      <w:r>
        <w:rPr>
          <w:rStyle w:val="StringTok"/>
        </w:rPr>
        <w:t xml:space="preserve">"Perpres 38/2015"</w:t>
      </w:r>
      <w:r>
        <w:br/>
      </w:r>
      <w:r>
        <w:rPr>
          <w:rStyle w:val="AttributeTok"/>
        </w:rPr>
        <w:t xml:space="preserve">  </w:t>
      </w:r>
      <w:r>
        <w:rPr>
          <w:rStyle w:val="KeywordTok"/>
        </w:rPr>
        <w:t xml:space="preserve">-</w:t>
      </w:r>
      <w:r>
        <w:rPr>
          <w:rStyle w:val="AttributeTok"/>
        </w:rPr>
        <w:t xml:space="preserve"> </w:t>
      </w:r>
      <w:r>
        <w:rPr>
          <w:rStyle w:val="StringTok"/>
        </w:rPr>
        <w:t xml:space="preserve">"Permen PPN/Bappenas 7/2023"</w:t>
      </w:r>
      <w:r>
        <w:br/>
      </w:r>
      <w:r>
        <w:rPr>
          <w:rStyle w:val="AttributeTok"/>
        </w:rPr>
        <w:t xml:space="preserve">  </w:t>
      </w:r>
      <w:r>
        <w:rPr>
          <w:rStyle w:val="KeywordTok"/>
        </w:rPr>
        <w:t xml:space="preserve">-</w:t>
      </w:r>
      <w:r>
        <w:rPr>
          <w:rStyle w:val="AttributeTok"/>
        </w:rPr>
        <w:t xml:space="preserve"> </w:t>
      </w:r>
      <w:r>
        <w:rPr>
          <w:rStyle w:val="StringTok"/>
        </w:rPr>
        <w:t xml:space="preserve">"prastudi kelayakan"</w:t>
      </w:r>
      <w:r>
        <w:br/>
      </w:r>
      <w:r>
        <w:rPr>
          <w:rStyle w:val="AttributeTok"/>
        </w:rPr>
        <w:t xml:space="preserve">  </w:t>
      </w:r>
      <w:r>
        <w:rPr>
          <w:rStyle w:val="KeywordTok"/>
        </w:rPr>
        <w:t xml:space="preserve">-</w:t>
      </w:r>
      <w:r>
        <w:rPr>
          <w:rStyle w:val="AttributeTok"/>
        </w:rPr>
        <w:t xml:space="preserve"> </w:t>
      </w:r>
      <w:r>
        <w:rPr>
          <w:rStyle w:val="StringTok"/>
        </w:rPr>
        <w:t xml:space="preserve">"studi pendahuluan"</w:t>
      </w:r>
      <w:r>
        <w:br/>
      </w:r>
      <w:r>
        <w:rPr>
          <w:rStyle w:val="AttributeTok"/>
        </w:rPr>
        <w:t xml:space="preserve">  </w:t>
      </w:r>
      <w:r>
        <w:rPr>
          <w:rStyle w:val="KeywordTok"/>
        </w:rPr>
        <w:t xml:space="preserve">-</w:t>
      </w:r>
      <w:r>
        <w:rPr>
          <w:rStyle w:val="AttributeTok"/>
        </w:rPr>
        <w:t xml:space="preserve"> </w:t>
      </w:r>
      <w:r>
        <w:rPr>
          <w:rStyle w:val="StringTok"/>
        </w:rPr>
        <w:t xml:space="preserve">"Daftar Rencana KPBU"</w:t>
      </w:r>
      <w:r>
        <w:br/>
      </w:r>
      <w:r>
        <w:rPr>
          <w:rStyle w:val="AttributeTok"/>
        </w:rPr>
        <w:t xml:space="preserve">  </w:t>
      </w:r>
      <w:r>
        <w:rPr>
          <w:rStyle w:val="KeywordTok"/>
        </w:rPr>
        <w:t xml:space="preserve">-</w:t>
      </w:r>
      <w:r>
        <w:rPr>
          <w:rStyle w:val="AttributeTok"/>
        </w:rPr>
        <w:t xml:space="preserve"> </w:t>
      </w:r>
      <w:r>
        <w:rPr>
          <w:rStyle w:val="StringTok"/>
        </w:rPr>
        <w:t xml:space="preserve">"financial close"</w:t>
      </w:r>
      <w:r>
        <w:br/>
      </w:r>
      <w:r>
        <w:rPr>
          <w:rStyle w:val="AttributeTok"/>
        </w:rPr>
        <w:t xml:space="preserve">  </w:t>
      </w:r>
      <w:r>
        <w:rPr>
          <w:rStyle w:val="KeywordTok"/>
        </w:rPr>
        <w:t xml:space="preserve">-</w:t>
      </w:r>
      <w:r>
        <w:rPr>
          <w:rStyle w:val="AttributeTok"/>
        </w:rPr>
        <w:t xml:space="preserve"> </w:t>
      </w:r>
      <w:r>
        <w:rPr>
          <w:rStyle w:val="StringTok"/>
        </w:rPr>
        <w:t xml:space="preserve">"Simpul KPBU"</w:t>
      </w:r>
      <w:r>
        <w:br/>
      </w:r>
      <w:r>
        <w:rPr>
          <w:rStyle w:val="AttributeTok"/>
        </w:rPr>
        <w:t xml:space="preserve">  </w:t>
      </w:r>
      <w:r>
        <w:rPr>
          <w:rStyle w:val="KeywordTok"/>
        </w:rPr>
        <w:t xml:space="preserve">-</w:t>
      </w:r>
      <w:r>
        <w:rPr>
          <w:rStyle w:val="AttributeTok"/>
        </w:rPr>
        <w:t xml:space="preserve"> </w:t>
      </w:r>
      <w:r>
        <w:rPr>
          <w:rStyle w:val="StringTok"/>
        </w:rPr>
        <w:t xml:space="preserve">"Fasilitas Penyiapan Proyek"</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"skema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"public private partnership"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"pembiayaan kreatif"</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"https://jdih.kemenkeu.go.id/dok/perpres-38-tahun-2015"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"Status berlaku Perpres No. 38 Tahun 2015 sebagai payung hukum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"https://peraturan.go.id/id/permen-ppn-bappenas-no-9-tahun-2025"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"Keberadaan, nomor, dan tanggal Permen PPN/Bappenas No. 9 Tahun 2025 yang mengubah Permen 7/2023"</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"https://kpbu.kemenkeu.go.id/read/1094-1255/pjpk/dukungan-pemerintah/fasilitas-penyiapan-proyek"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"Fasilitas Penyiapan Proyek Kementerian Keuangan sebagai dukungan penyiapan proyek KPBU"</w:t>
      </w:r>
      <w:r>
        <w:br/>
      </w:r>
      <w:r>
        <w:rPr>
          <w:rStyle w:val="FunctionTok"/>
        </w:rPr>
        <w:t xml:space="preserve">brief_id</w:t>
      </w:r>
      <w:r>
        <w:rPr>
          <w:rStyle w:val="KeywordTok"/>
        </w:rPr>
        <w:t xml:space="preserve">:</w:t>
      </w:r>
      <w:r>
        <w:rPr>
          <w:rStyle w:val="AttributeTok"/>
        </w:rPr>
        <w:t xml:space="preserve"> </w:t>
      </w:r>
      <w:r>
        <w:rPr>
          <w:rStyle w:val="StringTok"/>
        </w:rPr>
        <w:t xml:space="preserve">"kpbu-01"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1783</w:t>
      </w:r>
    </w:p>
    <w:p>
      <w:r>
        <w:pict>
          <v:rect style="width:0;height:1.5pt" o:hralign="center" o:hrstd="t" o:hr="t"/>
        </w:pict>
      </w:r>
    </w:p>
    <w:bookmarkEnd w:id="16"/>
    <w:bookmarkStart w:id="36" w:name="X7b77213f9d113fb4e142c2bca9e342c7cb6c572"/>
    <w:p>
      <w:pPr>
        <w:pStyle w:val="Heading1"/>
      </w:pPr>
      <w:r>
        <w:t xml:space="preserve">KPBU: Tahapan Proyek dari Perencanaan hingga Akhir Perjanjian</w:t>
      </w:r>
    </w:p>
    <w:p>
      <w:pPr>
        <w:pStyle w:val="FirstParagraph"/>
      </w:pPr>
      <w:r>
        <w:t xml:space="preserve">Seorang pejabat yang baru ditugaskan menyiapkan proyek daerah membuka dua panduan KPBU dan menemukan dua versi proses yang tidak sama. Keduanya beredar bebas, keduanya terlihat resmi. Masalahnya, sebagian besar penjelasan yang mudah ditemukan di hasil pencarian hari ini masih berpijak pada Permen PPN No. 4 Tahun 2015 atau Permen PPN No. 2 Tahun 2020, dua aturan pelaksana yang sudah tidak berlaku. Artikel ini menyusun ulang tahapan proyek</w:t>
      </w:r>
      <w:r>
        <w:t xml:space="preserve"> </w:t>
      </w:r>
      <w:hyperlink r:id="rId17">
        <w:r>
          <w:rPr>
            <w:rStyle w:val="Hyperlink"/>
          </w:rPr>
          <w:t xml:space="preserve">skema KPBU</w:t>
        </w:r>
      </w:hyperlink>
      <w:r>
        <w:t xml:space="preserve"> </w:t>
      </w:r>
      <w:r>
        <w:t xml:space="preserve">menurut kerangka yang berlaku sekarang: enam tahap, dokumen keluaran di tiap tahap, dan titik keputusan yang menentukan proyek lanjut atau berhenti.</w:t>
      </w:r>
    </w:p>
    <w:p>
      <w:pPr>
        <w:pStyle w:val="BlockText"/>
      </w:pPr>
      <w:r>
        <w:rPr>
          <w:b/>
          <w:bCs/>
        </w:rPr>
        <w:t xml:space="preserve">Ringkasnya:</w:t>
      </w:r>
      <w:r>
        <w:t xml:space="preserve"> </w:t>
      </w:r>
      <w:r>
        <w:t xml:space="preserve">KPBU (</w:t>
      </w:r>
      <w:r>
        <w:rPr>
          <w:i/>
          <w:iCs/>
        </w:rPr>
        <w:t xml:space="preserve">Kerja Sama Pemerintah dengan Badan Usaha</w:t>
      </w:r>
      <w:r>
        <w:t xml:space="preserve">) adalah skema penyediaan infrastruktur untuk kepentingan umum yang melibatkan badan usaha, dengan sebagian atau seluruh sumber daya berasal dari badan usaha dan risiko dibagi berdasarkan perjanjian kerja sama. Payung hukumnya Peraturan Presiden No. 38 Tahun 2015, dengan aturan pelaksana Peraturan Menteri PPN/Kepala Bappenas No. 7 Tahun 2023.</w:t>
      </w:r>
    </w:p>
    <w:bookmarkStart w:id="20" w:name="X0690ad5d3f527bf22817fbdd3dd5479a8b380a8"/>
    <w:p>
      <w:pPr>
        <w:pStyle w:val="Heading2"/>
      </w:pPr>
      <w:r>
        <w:t xml:space="preserve">Apa itu KPBU dan mengapa prosesnya dibuat bertahap?</w:t>
      </w:r>
    </w:p>
    <w:p>
      <w:pPr>
        <w:pStyle w:val="FirstParagraph"/>
      </w:pPr>
      <w:r>
        <w:t xml:space="preserve">KPBU adalah skema penyediaan infrastruktur publik yang pendanaan dan risikonya dibagi secara kontraktual antara pemerintah dan badan usaha. Prosesnya dibuat berjenjang karena setiap tahap berfungsi sebagai gerbang keputusan: proyek yang belum layak disaring lebih awal, sebelum biaya penyiapan, lelang, dan komitmen kontrak jangka panjang membesar.</w:t>
      </w:r>
    </w:p>
    <w:p>
      <w:pPr>
        <w:pStyle w:val="BodyText"/>
      </w:pPr>
      <w:r>
        <w:t xml:space="preserve">Di forum internasional, skema ini dikenal sebagai</w:t>
      </w:r>
      <w:r>
        <w:t xml:space="preserve"> </w:t>
      </w:r>
      <w:hyperlink r:id="rId18">
        <w:r>
          <w:rPr>
            <w:rStyle w:val="Hyperlink"/>
          </w:rPr>
          <w:t xml:space="preserve">public private partnership</w:t>
        </w:r>
      </w:hyperlink>
      <w:r>
        <w:t xml:space="preserve">. Istilahnya berbeda, logikanya sama: pemerintah membeli layanan infrastruktur jangka panjang, badan usaha membawa modal serta kemampuan eksekusi, dan risiko dialokasikan kepada pihak yang paling mampu mengelolanya.</w:t>
      </w:r>
    </w:p>
    <w:p>
      <w:pPr>
        <w:pStyle w:val="BodyText"/>
      </w:pPr>
      <w:r>
        <w:t xml:space="preserve">Alasan skema ini ada terbaca dari satu angka. Kebutuhan investasi infrastruktur nasional pada periode RPJMN 2025–2029 diperkirakan sekitar USD 625,37 miliar, setara Rp 10.146–10.303 triliun tergantung asumsi kurs yang dipakai masing-masing pelapor. APBN dan APBD bersama-sama hanya mampu menutup sekitar 40% dari kebutuhan itu. Kedua angka berasal dari pernyataan Kementerian Keuangan pada forum infrastruktur internasional, Juni 2025.</w:t>
      </w:r>
    </w:p>
    <w:p>
      <w:pPr>
        <w:pStyle w:val="BodyText"/>
      </w:pPr>
      <w:r>
        <w:t xml:space="preserve">Sisanya harus datang dari BUMN dan swasta, dan uang swasta tidak masuk hanya karena diundang.</w:t>
      </w:r>
    </w:p>
    <w:p>
      <w:pPr>
        <w:pStyle w:val="BodyText"/>
      </w:pPr>
      <w:r>
        <w:t xml:space="preserve">Peraturan Presiden No. 38 Tahun 2015 ditetapkan 20 Maret 2015 dan</w:t>
      </w:r>
      <w:r>
        <w:t xml:space="preserve"> </w:t>
      </w:r>
      <w:hyperlink r:id="rId19">
        <w:r>
          <w:rPr>
            <w:rStyle w:val="Hyperlink"/>
          </w:rPr>
          <w:t xml:space="preserve">berstatus berlaku menurut basis data JDIH Kementerian Keuangan</w:t>
        </w:r>
      </w:hyperlink>
      <w:r>
        <w:t xml:space="preserve"> </w:t>
      </w:r>
      <w:r>
        <w:t xml:space="preserve">(diakses Agustus 2026). Aturan pelaksananya yang berlaku sekarang adalah Permen PPN/Kepala Bappenas No. 7 Tahun 2023. Dua lapis inilah yang menentukan urutan kerja proyek, bukan panduan lama yang masih beredar.</w:t>
      </w:r>
    </w:p>
    <w:bookmarkEnd w:id="20"/>
    <w:bookmarkStart w:id="21" w:name="X618f6ac451d305f297d79135adee2f33ba9c0a4"/>
    <w:p>
      <w:pPr>
        <w:pStyle w:val="Heading2"/>
      </w:pPr>
      <w:r>
        <w:t xml:space="preserve">Enam tahapan proyek KPBU dan keluaran yang harus dihasilkan</w:t>
      </w:r>
    </w:p>
    <w:p>
      <w:pPr>
        <w:pStyle w:val="FirstParagraph"/>
      </w:pPr>
      <w:r>
        <w:t xml:space="preserve">Proyek KPBU berjalan melalui enam tahap: perencanaan, penyiapan, transaksi, konstruksi, operasi, dan berakhirnya perjanjian. Tiga tahap pertama menentukan apakah proyek pernah sampai ke lapangan. Masing-masing punya keluaran dokumen yang harus selesai dan syarat lanjut yang harus dipenuhi sebelum proyek naik ke tahap berikutnya.</w:t>
      </w:r>
    </w:p>
    <w:p>
      <w:pPr>
        <w:pStyle w:val="Compact"/>
        <w:numPr>
          <w:ilvl w:val="0"/>
          <w:numId w:val="1001"/>
        </w:numPr>
      </w:pPr>
      <w:r>
        <w:rPr>
          <w:b/>
          <w:bCs/>
        </w:rPr>
        <w:t xml:space="preserve">Perencanaan.</w:t>
      </w:r>
      <w:r>
        <w:t xml:space="preserve"> </w:t>
      </w:r>
      <w:r>
        <w:t xml:space="preserve">PJPK menyusun studi pendahuluan, lalu mengusulkan proyek masuk Daftar Rencana KPBU yang dinilai Kementerian PPN/Bappenas. Daftar itu memilah proyek ke dua kategori: siap ditawarkan dan dalam proses penyiapan. Syarat lanjut: proyek resmi tercantum di sana.</w:t>
      </w:r>
    </w:p>
    <w:p>
      <w:pPr>
        <w:pStyle w:val="Compact"/>
        <w:numPr>
          <w:ilvl w:val="0"/>
          <w:numId w:val="1001"/>
        </w:numPr>
      </w:pPr>
      <w:r>
        <w:rPr>
          <w:b/>
          <w:bCs/>
        </w:rPr>
        <w:t xml:space="preserve">Penyiapan.</w:t>
      </w:r>
      <w:r>
        <w:t xml:space="preserve"> </w:t>
      </w:r>
      <w:r>
        <w:t xml:space="preserve">Keluarannya prastudi kelayakan, dokumen inti yang menguji sisi strategis, ekonomi, komersial, dan finansial proyek sekaligus alokasi risikonya. Uji</w:t>
      </w:r>
      <w:r>
        <w:t xml:space="preserve"> </w:t>
      </w:r>
      <w:r>
        <w:rPr>
          <w:i/>
          <w:iCs/>
        </w:rPr>
        <w:t xml:space="preserve">Value for Money</w:t>
      </w:r>
      <w:r>
        <w:t xml:space="preserve"> </w:t>
      </w:r>
      <w:r>
        <w:t xml:space="preserve">dilakukan di tahap ini. Bila hasilnya negatif, pengadaan konvensional justru pilihan yang lebih masuk akal.</w:t>
      </w:r>
    </w:p>
    <w:p>
      <w:pPr>
        <w:pStyle w:val="Compact"/>
        <w:numPr>
          <w:ilvl w:val="0"/>
          <w:numId w:val="1001"/>
        </w:numPr>
      </w:pPr>
      <w:r>
        <w:rPr>
          <w:b/>
          <w:bCs/>
        </w:rPr>
        <w:t xml:space="preserve">Transaksi.</w:t>
      </w:r>
      <w:r>
        <w:t xml:space="preserve"> </w:t>
      </w:r>
      <w:r>
        <w:t xml:space="preserve">Tahap terpanjang secara administratif: prakualifikasi, lelang badan usaha pelaksana, penetapan pemenang, penandatanganan perjanjian KPBU, lalu</w:t>
      </w:r>
      <w:r>
        <w:t xml:space="preserve"> </w:t>
      </w:r>
      <w:r>
        <w:rPr>
          <w:i/>
          <w:iCs/>
        </w:rPr>
        <w:t xml:space="preserve">financial close</w:t>
      </w:r>
      <w:r>
        <w:t xml:space="preserve"> </w:t>
      </w:r>
      <w:r>
        <w:t xml:space="preserve">(saat pendanaan proyek benar-benar terikat kontrak dengan</w:t>
      </w:r>
      <w:r>
        <w:t xml:space="preserve"> </w:t>
      </w:r>
      <w:r>
        <w:rPr>
          <w:i/>
          <w:iCs/>
        </w:rPr>
        <w:t xml:space="preserve">lender</w:t>
      </w:r>
      <w:r>
        <w:t xml:space="preserve">). Tanpa</w:t>
      </w:r>
      <w:r>
        <w:t xml:space="preserve"> </w:t>
      </w:r>
      <w:r>
        <w:rPr>
          <w:i/>
          <w:iCs/>
        </w:rPr>
        <w:t xml:space="preserve">financial close</w:t>
      </w:r>
      <w:r>
        <w:t xml:space="preserve">, perjanjian yang sudah diteken belum berarti pembangunan dimulai.</w:t>
      </w:r>
    </w:p>
    <w:p>
      <w:pPr>
        <w:pStyle w:val="Compact"/>
        <w:numPr>
          <w:ilvl w:val="0"/>
          <w:numId w:val="1001"/>
        </w:numPr>
      </w:pPr>
      <w:r>
        <w:rPr>
          <w:b/>
          <w:bCs/>
        </w:rPr>
        <w:t xml:space="preserve">Konstruksi.</w:t>
      </w:r>
      <w:r>
        <w:t xml:space="preserve"> </w:t>
      </w:r>
      <w:r>
        <w:t xml:space="preserve">Badan usaha pelaksana membangun sesuai spesifikasi kontrak dan umumnya memikul risiko konstruksi, termasuk pembengkakan biaya. Syarat lanjut: penyelesaian pekerjaan dan uji laik operasi sesuai perjanjian.</w:t>
      </w:r>
    </w:p>
    <w:p>
      <w:pPr>
        <w:pStyle w:val="Compact"/>
        <w:numPr>
          <w:ilvl w:val="0"/>
          <w:numId w:val="1001"/>
        </w:numPr>
      </w:pPr>
      <w:r>
        <w:rPr>
          <w:b/>
          <w:bCs/>
        </w:rPr>
        <w:t xml:space="preserve">Operasi.</w:t>
      </w:r>
      <w:r>
        <w:t xml:space="preserve"> </w:t>
      </w:r>
      <w:r>
        <w:t xml:space="preserve">Layanan berjalan dan pembayaran mengalir sesuai skema pengembalian investasi yang dipilih, misalnya</w:t>
      </w:r>
      <w:r>
        <w:t xml:space="preserve"> </w:t>
      </w:r>
      <w:r>
        <w:rPr>
          <w:i/>
          <w:iCs/>
        </w:rPr>
        <w:t xml:space="preserve">Availability Payment</w:t>
      </w:r>
      <w:r>
        <w:t xml:space="preserve"> </w:t>
      </w:r>
      <w:r>
        <w:t xml:space="preserve">atau tarif pengguna. PJPK mengawasi kinerja layanan terhadap standar yang tertulis di kontrak.</w:t>
      </w:r>
    </w:p>
    <w:p>
      <w:pPr>
        <w:pStyle w:val="Compact"/>
        <w:numPr>
          <w:ilvl w:val="0"/>
          <w:numId w:val="1001"/>
        </w:numPr>
      </w:pPr>
      <w:r>
        <w:rPr>
          <w:b/>
          <w:bCs/>
        </w:rPr>
        <w:t xml:space="preserve">Berakhirnya perjanjian.</w:t>
      </w:r>
      <w:r>
        <w:t xml:space="preserve"> </w:t>
      </w:r>
      <w:r>
        <w:t xml:space="preserve">Hak dan aset diserahkan sesuai klausul kontrak, baik karena masa perjanjian habis maupun karena pengakhiran dini.</w:t>
      </w:r>
    </w:p>
    <w:p>
      <w:pPr>
        <w:pStyle w:val="FirstParagraph"/>
      </w:pPr>
      <w:r>
        <w:t xml:space="preserve">Anda mungkin menemukan penjelasan lain yang menyebut KPBU berjalan dalam tiga tahap besar. Itu bukan kontradiksi, hanya tingkat pengelompokan yang berbeda.</w:t>
      </w:r>
    </w:p>
    <w:bookmarkEnd w:id="21"/>
    <w:bookmarkStart w:id="22" w:name="X5848538419d297f297c541791b53e2eb5b61db3"/>
    <w:p>
      <w:pPr>
        <w:pStyle w:val="Heading2"/>
      </w:pPr>
      <w:r>
        <w:t xml:space="preserve">Siapa itu PJPK dan siapa saja yang bisa menjadi PJPK?</w:t>
      </w:r>
    </w:p>
    <w:p>
      <w:pPr>
        <w:pStyle w:val="FirstParagraph"/>
      </w:pPr>
      <w:r>
        <w:t xml:space="preserve">PJPK (</w:t>
      </w:r>
      <w:r>
        <w:rPr>
          <w:i/>
          <w:iCs/>
        </w:rPr>
        <w:t xml:space="preserve">Penanggung Jawab Proyek Kerja Sama</w:t>
      </w:r>
      <w:r>
        <w:t xml:space="preserve">) adalah pihak yang bertanggung jawab menyediakan infrastruktur dalam proyek KPBU, sejak perencanaan sampai perjanjian berakhir. Posisi itu diisi Menteri, kepala lembaga, atau kepala daerah sesuai sektornya. Bila peraturan perundang-undangan mengamanatkan BUMN atau BUMD sebagai penyelenggara infrastruktur, BUMN/BUMD tersebut yang bertindak selaku PJPK.</w:t>
      </w:r>
    </w:p>
    <w:p>
      <w:pPr>
        <w:pStyle w:val="BodyText"/>
      </w:pPr>
      <w:r>
        <w:t xml:space="preserve">Bagian terakhir itu sering disalahpahami. Banyak penjelasan generik menyamakan PJPK dengan pejabat pemerintah, padahal pada sektor tertentu kursi PJPK dipegang BUMN atau BUMD. Konsekuensinya praktis: pihak yang meneken perjanjian dan memikul kewajiban kontraktual sisi pemerintah belum tentu sebuah kementerian.</w:t>
      </w:r>
    </w:p>
    <w:p>
      <w:pPr>
        <w:pStyle w:val="BodyText"/>
      </w:pPr>
      <w:r>
        <w:t xml:space="preserve">PJPK juga tidak bekerja sendiri. Ia membentuk</w:t>
      </w:r>
      <w:r>
        <w:t xml:space="preserve"> </w:t>
      </w:r>
      <w:r>
        <w:rPr>
          <w:b/>
          <w:bCs/>
        </w:rPr>
        <w:t xml:space="preserve">Simpul KPBU</w:t>
      </w:r>
      <w:r>
        <w:t xml:space="preserve">, unit yang melekat pada struktur kerjanya sendiri dan bertugas mendampingi proyek di setiap tahapan. Simpul inilah yang biasanya menjadi memori institusional proyek ketika pejabatnya berganti.</w:t>
      </w:r>
    </w:p>
    <w:p>
      <w:pPr>
        <w:pStyle w:val="BodyText"/>
      </w:pPr>
      <w:r>
        <w:rPr>
          <w:b/>
          <w:bCs/>
        </w:rPr>
        <w:t xml:space="preserve">Kantor Bersama KPBU</w:t>
      </w:r>
      <w:r>
        <w:t xml:space="preserve"> </w:t>
      </w:r>
      <w:r>
        <w:t xml:space="preserve">adalah hal yang berbeda meski namanya mirip. Ini forum koordinasi lintas kementerian/lembaga yang berfungsi sebagai layanan terpadu (</w:t>
      </w:r>
      <w:r>
        <w:rPr>
          <w:i/>
          <w:iCs/>
        </w:rPr>
        <w:t xml:space="preserve">one stop service</w:t>
      </w:r>
      <w:r>
        <w:t xml:space="preserve">) bagi pelaksanaan KPBU secara nasional, beranggotakan antara lain Kementerian Keuangan, Kementerian PPN/Bappenas, Kementerian Dalam Negeri, dan LKPP. Simpul melekat pada satu PJPK; Kantor Bersama berdiri di tingkat nasional.</w:t>
      </w:r>
    </w:p>
    <w:bookmarkEnd w:id="22"/>
    <w:bookmarkStart w:id="24" w:name="X0912380413504d34376247f4c867a1731bb503f"/>
    <w:p>
      <w:pPr>
        <w:pStyle w:val="Heading2"/>
      </w:pPr>
      <w:r>
        <w:t xml:space="preserve">Apa yang berubah setelah Permen PPN/Bappenas No. 7 Tahun 2023</w:t>
      </w:r>
    </w:p>
    <w:p>
      <w:pPr>
        <w:pStyle w:val="FirstParagraph"/>
      </w:pPr>
      <w:r>
        <w:t xml:space="preserve">Permen PPN/Kepala Bappenas No. 7 Tahun 2023 menggantikan Permen PPN No. 4 Tahun 2015 dan Permen PPN No. 2 Tahun 2020 sebagai aturan pelaksana KPBU. Aturan ini ditetapkan 22 September 2023 dan diundangkan 29 Oktober 2023, lalu diubah lagi oleh Permen PPN/Kepala Bappenas No. 9 Tahun 2025 yang ditetapkan 30 Desember 2025.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Permen PPN 4/2015 &amp; 2/2020</w:t>
            </w:r>
          </w:p>
        </w:tc>
        <w:tc>
          <w:tcPr/>
          <w:p>
            <w:pPr>
              <w:pStyle w:val="Compact"/>
            </w:pPr>
            <w:r>
              <w:t xml:space="preserve">Permen PPN/Bappenas 7/2023 (berlaku)</w:t>
            </w:r>
          </w:p>
        </w:tc>
      </w:tr>
      <w:tr>
        <w:tc>
          <w:tcPr/>
          <w:p>
            <w:pPr>
              <w:pStyle w:val="Compact"/>
            </w:pPr>
            <w:r>
              <w:t xml:space="preserve">Status</w:t>
            </w:r>
          </w:p>
        </w:tc>
        <w:tc>
          <w:tcPr/>
          <w:p>
            <w:pPr>
              <w:pStyle w:val="Compact"/>
            </w:pPr>
            <w:r>
              <w:t xml:space="preserve">Dicabut oleh Permen 7/2023</w:t>
            </w:r>
          </w:p>
        </w:tc>
        <w:tc>
          <w:tcPr/>
          <w:p>
            <w:pPr>
              <w:pStyle w:val="Compact"/>
            </w:pPr>
            <w:r>
              <w:t xml:space="preserve">Berlaku, diundangkan 29 Oktober 2023; diubah oleh Permen No. 9 Tahun 2025</w:t>
            </w:r>
          </w:p>
        </w:tc>
      </w:tr>
      <w:tr>
        <w:tc>
          <w:tcPr/>
          <w:p>
            <w:pPr>
              <w:pStyle w:val="Compact"/>
            </w:pPr>
            <w:r>
              <w:t xml:space="preserve">Kajian prastudi kelayakan</w:t>
            </w:r>
          </w:p>
        </w:tc>
        <w:tc>
          <w:tcPr/>
          <w:p>
            <w:pPr>
              <w:pStyle w:val="Compact"/>
            </w:pPr>
            <w:r>
              <w:t xml:space="preserve">Delapan kajian menurut penjelasan praktisi atas Permen 2/2020</w:t>
            </w:r>
          </w:p>
        </w:tc>
        <w:tc>
          <w:tcPr/>
          <w:p>
            <w:pPr>
              <w:pStyle w:val="Compact"/>
            </w:pPr>
            <w:r>
              <w:t xml:space="preserve">Disederhanakan; jumlah pastinya belum dapat dikutip dari teks pasal</w:t>
            </w:r>
          </w:p>
        </w:tc>
      </w:tr>
      <w:tr>
        <w:tc>
          <w:tcPr/>
          <w:p>
            <w:pPr>
              <w:pStyle w:val="Compact"/>
            </w:pPr>
            <w:r>
              <w:t xml:space="preserve">KPBU skala kecil</w:t>
            </w:r>
          </w:p>
        </w:tc>
        <w:tc>
          <w:tcPr/>
          <w:p>
            <w:pPr>
              <w:pStyle w:val="Compact"/>
            </w:pPr>
            <w:r>
              <w:t xml:space="preserve">Belum diatur khusus</w:t>
            </w:r>
          </w:p>
        </w:tc>
        <w:tc>
          <w:tcPr/>
          <w:p>
            <w:pPr>
              <w:pStyle w:val="Compact"/>
            </w:pPr>
            <w:r>
              <w:t xml:space="preserve">Diatur khusus, tanpa satu ambang nilai investasi tunggal lintas sektor</w:t>
            </w:r>
          </w:p>
        </w:tc>
      </w:tr>
      <w:tr>
        <w:tc>
          <w:tcPr/>
          <w:p>
            <w:pPr>
              <w:pStyle w:val="Compact"/>
            </w:pPr>
            <w:r>
              <w:t xml:space="preserve">Perpanjangan</w:t>
            </w:r>
            <w:r>
              <w:t xml:space="preserve"> </w:t>
            </w:r>
            <w:r>
              <w:rPr>
                <w:i/>
                <w:iCs/>
              </w:rPr>
              <w:t xml:space="preserve">financial close</w:t>
            </w:r>
          </w:p>
        </w:tc>
        <w:tc>
          <w:tcPr/>
          <w:p>
            <w:pPr>
              <w:pStyle w:val="Compact"/>
            </w:pPr>
            <w:r>
              <w:t xml:space="preserve">Relatif longgar</w:t>
            </w:r>
          </w:p>
        </w:tc>
        <w:tc>
          <w:tcPr/>
          <w:p>
            <w:pPr>
              <w:pStyle w:val="Compact"/>
            </w:pPr>
            <w:r>
              <w:t xml:space="preserve">Disebut dibatasi lebih ketat; rincian mekanismenya belum terbaca pada teks pasal</w:t>
            </w:r>
          </w:p>
        </w:tc>
      </w:tr>
    </w:tbl>
    <w:p>
      <w:pPr>
        <w:pStyle w:val="BodyText"/>
      </w:pPr>
      <w:r>
        <w:t xml:space="preserve">Pembaruan Desember 2025 itu layak dicatat karena banyak materi pelatihan dan panduan internal belum menyesuaikan. Keberadaan, nomor, dan tanggalnya terkonfirmasi pada</w:t>
      </w:r>
      <w:r>
        <w:t xml:space="preserve"> </w:t>
      </w:r>
      <w:hyperlink r:id="rId23">
        <w:r>
          <w:rPr>
            <w:rStyle w:val="Hyperlink"/>
          </w:rPr>
          <w:t xml:space="preserve">basis data peraturan.go.id</w:t>
        </w:r>
      </w:hyperlink>
      <w:r>
        <w:t xml:space="preserve"> </w:t>
      </w:r>
      <w:r>
        <w:t xml:space="preserve">(diakses Agustus 2026), sementara isi pasalnya belum dapat dibaca langsung, sehingga mekanisme yang diubahnya belum bisa disimpulkan. Rujukan paling aman hari ini:</w:t>
      </w:r>
      <w:r>
        <w:t xml:space="preserve"> </w:t>
      </w:r>
      <w:r>
        <w:t xml:space="preserve">“Permen PPN/Kepala Bappenas No. 7 Tahun 2023 sebagaimana diubah dengan Permen No. 9 Tahun 2025”</w:t>
      </w:r>
      <w:r>
        <w:t xml:space="preserve">.</w:t>
      </w:r>
    </w:p>
    <w:p>
      <w:pPr>
        <w:pStyle w:val="BodyText"/>
      </w:pPr>
      <w:r>
        <w:t xml:space="preserve">Satu klaim yang beredar luas perlu diperlakukan hati-hati. Di kalangan praktisi KPBU, jumlah kajian dalam prastudi kelayakan disebut disederhanakan dari delapan menjadi lima. Rumusannya konsisten, tetapi belum dapat ditelusuri ke kutipan pasal yang terbuka untuk publik. Pakai sebagai orientasi; untuk menyusun dokumen, bacalah lampiran regulasinya langsung.</w:t>
      </w:r>
    </w:p>
    <w:bookmarkEnd w:id="24"/>
    <w:bookmarkStart w:id="27" w:name="Xe880909a39a7084ae81c7a2c1ffa9db4310c3ec"/>
    <w:p>
      <w:pPr>
        <w:pStyle w:val="Heading2"/>
      </w:pPr>
      <w:r>
        <w:t xml:space="preserve">Di tahap mana proyek KPBU paling sering tersendat</w:t>
      </w:r>
    </w:p>
    <w:p>
      <w:pPr>
        <w:pStyle w:val="FirstParagraph"/>
      </w:pPr>
      <w:r>
        <w:t xml:space="preserve">Dalam praktik penyiapan proyek, titik rawan terbesar ada di tahap penyiapan dan awal transaksi, jauh sebelum beton pertama dituang. Penyebabnya jarang bersifat teknis. Yang berulang justru soal kualitas dokumen, kepastian kebijakan, kelayakan finansial, dan kecepatan pengambilan keputusan di sisi PJPK. Empat pola itu paling sering muncul pada proyek yang berhenti sebelum lelang.</w:t>
      </w:r>
    </w:p>
    <w:p>
      <w:pPr>
        <w:pStyle w:val="Compact"/>
        <w:numPr>
          <w:ilvl w:val="0"/>
          <w:numId w:val="1002"/>
        </w:numPr>
      </w:pPr>
      <w:r>
        <w:rPr>
          <w:b/>
          <w:bCs/>
        </w:rPr>
        <w:t xml:space="preserve">Penyiapan yang belum kredibel.</w:t>
      </w:r>
      <w:r>
        <w:t xml:space="preserve"> </w:t>
      </w:r>
      <w:r>
        <w:t xml:space="preserve">Studi kelayakan tipis membuat</w:t>
      </w:r>
      <w:r>
        <w:t xml:space="preserve"> </w:t>
      </w:r>
      <w:r>
        <w:rPr>
          <w:i/>
          <w:iCs/>
        </w:rPr>
        <w:t xml:space="preserve">lender</w:t>
      </w:r>
      <w:r>
        <w:t xml:space="preserve"> </w:t>
      </w:r>
      <w:r>
        <w:t xml:space="preserve">tidak punya dasar menilai arus kas proyek.</w:t>
      </w:r>
    </w:p>
    <w:p>
      <w:pPr>
        <w:pStyle w:val="Compact"/>
        <w:numPr>
          <w:ilvl w:val="0"/>
          <w:numId w:val="1002"/>
        </w:numPr>
      </w:pPr>
      <w:r>
        <w:rPr>
          <w:b/>
          <w:bCs/>
        </w:rPr>
        <w:t xml:space="preserve">Risiko politik dan ketidakpastian kebijakan.</w:t>
      </w:r>
      <w:r>
        <w:t xml:space="preserve"> </w:t>
      </w:r>
      <w:r>
        <w:t xml:space="preserve">Investor menuntut kompensasi lebih besar, atau memilih tidak ikut lelang sama sekali.</w:t>
      </w:r>
    </w:p>
    <w:p>
      <w:pPr>
        <w:pStyle w:val="Compact"/>
        <w:numPr>
          <w:ilvl w:val="0"/>
          <w:numId w:val="1002"/>
        </w:numPr>
      </w:pPr>
      <w:r>
        <w:rPr>
          <w:b/>
          <w:bCs/>
        </w:rPr>
        <w:t xml:space="preserve">Kelayakan finansial (</w:t>
      </w:r>
      <w:r>
        <w:rPr>
          <w:b/>
          <w:bCs/>
          <w:i/>
          <w:iCs/>
        </w:rPr>
        <w:t xml:space="preserve">bankability</w:t>
      </w:r>
      <w:r>
        <w:rPr>
          <w:b/>
          <w:bCs/>
        </w:rPr>
        <w:t xml:space="preserve">) yang marginal.</w:t>
      </w:r>
      <w:r>
        <w:t xml:space="preserve"> </w:t>
      </w:r>
      <w:r>
        <w:t xml:space="preserve">Proyek layak secara ekonomi belum tentu menutup biaya modalnya sendiri.</w:t>
      </w:r>
    </w:p>
    <w:p>
      <w:pPr>
        <w:pStyle w:val="Compact"/>
        <w:numPr>
          <w:ilvl w:val="0"/>
          <w:numId w:val="1002"/>
        </w:numPr>
      </w:pPr>
      <w:r>
        <w:rPr>
          <w:b/>
          <w:bCs/>
        </w:rPr>
        <w:t xml:space="preserve">Keputusan PJPK yang lambat.</w:t>
      </w:r>
      <w:r>
        <w:t xml:space="preserve"> </w:t>
      </w:r>
      <w:r>
        <w:t xml:space="preserve">Lingkup proyek berubah-ubah dan komitmen kewajiban keuangan tak kunjung dipastikan.</w:t>
      </w:r>
    </w:p>
    <w:p>
      <w:pPr>
        <w:pStyle w:val="FirstParagraph"/>
      </w:pPr>
      <w:r>
        <w:t xml:space="preserve">Ada kemungkinan lain yang lebih jujur untuk diakui: proyeknya memang tidak cocok untuk KPBU. Skema ini membawa biaya penyiapan, transaksi, dan pengelolaan kontrak yang tidak muncul pada pengadaan konvensional. Pada proyek bernilai kecil, biaya itu bisa besar relatif terhadap nilai proyek sehingga hasil uji</w:t>
      </w:r>
      <w:r>
        <w:t xml:space="preserve"> </w:t>
      </w:r>
      <w:r>
        <w:rPr>
          <w:i/>
          <w:iCs/>
        </w:rPr>
        <w:t xml:space="preserve">Value for Money</w:t>
      </w:r>
      <w:r>
        <w:t xml:space="preserve"> </w:t>
      </w:r>
      <w:r>
        <w:t xml:space="preserve">menjadi negatif. Untuk kebutuhan daerah berskala terbatas, opsi</w:t>
      </w:r>
      <w:r>
        <w:t xml:space="preserve"> </w:t>
      </w:r>
      <w:hyperlink r:id="rId25">
        <w:r>
          <w:rPr>
            <w:rStyle w:val="Hyperlink"/>
          </w:rPr>
          <w:t xml:space="preserve">pembiayaan kreatif</w:t>
        </w:r>
      </w:hyperlink>
      <w:r>
        <w:t xml:space="preserve"> </w:t>
      </w:r>
      <w:r>
        <w:t xml:space="preserve">di luar APBD murni sering lebih realistis daripada memaksakan struktur KPBU penuh.</w:t>
      </w:r>
    </w:p>
    <w:p>
      <w:pPr>
        <w:pStyle w:val="BodyText"/>
      </w:pPr>
      <w:r>
        <w:t xml:space="preserve">Untuk masalah penyiapan, jalan keluarnya sudah tersedia. Kementerian Keuangan menyediakan</w:t>
      </w:r>
      <w:r>
        <w:t xml:space="preserve"> </w:t>
      </w:r>
      <w:hyperlink r:id="rId26">
        <w:r>
          <w:rPr>
            <w:rStyle w:val="Hyperlink"/>
          </w:rPr>
          <w:t xml:space="preserve">Fasilitas Penyiapan Proyek</w:t>
        </w:r>
      </w:hyperlink>
      <w:r>
        <w:t xml:space="preserve"> </w:t>
      </w:r>
      <w:r>
        <w:t xml:space="preserve">(</w:t>
      </w:r>
      <w:r>
        <w:rPr>
          <w:i/>
          <w:iCs/>
        </w:rPr>
        <w:t xml:space="preserve">Project Development Facility</w:t>
      </w:r>
      <w:r>
        <w:t xml:space="preserve">) untuk membantu PJPK menggarap prastudi kelayakan, menguji minat pasar, dan menyiapkan dokumen transaksi sampai proyek mencapai</w:t>
      </w:r>
      <w:r>
        <w:t xml:space="preserve"> </w:t>
      </w:r>
      <w:r>
        <w:rPr>
          <w:i/>
          <w:iCs/>
        </w:rPr>
        <w:t xml:space="preserve">financial close</w:t>
      </w:r>
      <w:r>
        <w:t xml:space="preserve">.</w:t>
      </w:r>
    </w:p>
    <w:p>
      <w:pPr>
        <w:pStyle w:val="BodyText"/>
      </w:pPr>
      <w:r>
        <w:t xml:space="preserve">Soal waktu, tidak ada standar baku. Dokumen penyiapan umumnya disusun tiga sampai empat tahun sebelum proyek beroperasi, dan durasi menuju</w:t>
      </w:r>
      <w:r>
        <w:t xml:space="preserve"> </w:t>
      </w:r>
      <w:r>
        <w:rPr>
          <w:i/>
          <w:iCs/>
        </w:rPr>
        <w:t xml:space="preserve">financial close</w:t>
      </w:r>
      <w:r>
        <w:t xml:space="preserve"> </w:t>
      </w:r>
      <w:r>
        <w:t xml:space="preserve">pernah disorot dalam forum sektor infrastruktur pada 2023 sebagai sekitar satu tahun. Baca keduanya sebagai kisaran indikatif praktik, bukan jadwal yang dijanjikan.</w:t>
      </w:r>
    </w:p>
    <w:p>
      <w:pPr>
        <w:pStyle w:val="BodyText"/>
      </w:pPr>
      <w:r>
        <w:t xml:space="preserve">Dari pengalaman mendampingi penyiapan dan strukturisasi transaksi proyek KPBU, PT PII melihat pola yang sama berulang: proyek yang tersendat lebih sering tertahan di hulu ketimbang di lelangnya.</w:t>
      </w:r>
    </w:p>
    <w:bookmarkEnd w:id="27"/>
    <w:bookmarkStart w:id="34" w:name="faq-pertanyaan-yang-sering-diajukan"/>
    <w:p>
      <w:pPr>
        <w:pStyle w:val="Heading2"/>
      </w:pPr>
      <w:r>
        <w:t xml:space="preserve">FAQ (Pertanyaan yang Sering Diajukan)</w:t>
      </w:r>
    </w:p>
    <w:bookmarkStart w:id="28" w:name="apa-saja-tahapan-proyek-kpbu"/>
    <w:p>
      <w:pPr>
        <w:pStyle w:val="Heading3"/>
      </w:pPr>
      <w:r>
        <w:t xml:space="preserve">Apa saja tahapan proyek KPBU?</w:t>
      </w:r>
    </w:p>
    <w:p>
      <w:pPr>
        <w:pStyle w:val="FirstParagraph"/>
      </w:pPr>
      <w:r>
        <w:t xml:space="preserve">Enam tahap: perencanaan, penyiapan, transaksi, konstruksi, operasi, dan berakhirnya perjanjian. Perencanaan menghasilkan studi pendahuluan dan usulan masuk Daftar Rencana KPBU; penyiapan menghasilkan prastudi kelayakan; transaksi mencakup prakualifikasi hingga</w:t>
      </w:r>
      <w:r>
        <w:t xml:space="preserve"> </w:t>
      </w:r>
      <w:r>
        <w:rPr>
          <w:i/>
          <w:iCs/>
        </w:rPr>
        <w:t xml:space="preserve">financial close</w:t>
      </w:r>
      <w:r>
        <w:t xml:space="preserve">. Kerangkanya bersumber pada Perpres No. 38 Tahun 2015 dengan aturan pelaksana Permen PPN/Kepala Bappenas No. 7 Tahun 2023.</w:t>
      </w:r>
    </w:p>
    <w:bookmarkEnd w:id="28"/>
    <w:bookmarkStart w:id="29" w:name="apa-kepanjangan-pjpk"/>
    <w:p>
      <w:pPr>
        <w:pStyle w:val="Heading3"/>
      </w:pPr>
      <w:r>
        <w:t xml:space="preserve">Apa kepanjangan PJPK?</w:t>
      </w:r>
    </w:p>
    <w:p>
      <w:pPr>
        <w:pStyle w:val="FirstParagraph"/>
      </w:pPr>
      <w:r>
        <w:t xml:space="preserve">PJPK adalah Penanggung Jawab Proyek Kerja Sama, pihak yang bertanggung jawab menyediakan infrastruktur pada proyek KPBU sejak perencanaan hingga perjanjian berakhir. Istilah ini dipakai dalam Peraturan Presiden No. 38 Tahun 2015, dan PJPK-lah yang menandatangani perjanjian KPBU mewakili sisi pemerintah.</w:t>
      </w:r>
    </w:p>
    <w:bookmarkEnd w:id="29"/>
    <w:bookmarkStart w:id="30" w:name="siapa-saja-yang-bisa-menjadi-pjpk"/>
    <w:p>
      <w:pPr>
        <w:pStyle w:val="Heading3"/>
      </w:pPr>
      <w:r>
        <w:t xml:space="preserve">Siapa saja yang bisa menjadi PJPK?</w:t>
      </w:r>
    </w:p>
    <w:p>
      <w:pPr>
        <w:pStyle w:val="FirstParagraph"/>
      </w:pPr>
      <w:r>
        <w:t xml:space="preserve">Menteri, kepala lembaga, atau kepala daerah sesuai sektor infrastruktur yang menjadi tanggung jawabnya. Bila peraturan perundang-undangan mengamanatkan BUMN atau BUMD sebagai penyedia infrastruktur pada sektor tertentu, BUMN/BUMD itulah yang bertindak selaku PJPK. Jadi PJPK tidak selalu berarti pejabat pemerintah. PJPK pula yang membentuk Simpul KPBU dan meneken perjanjian kerja sama.</w:t>
      </w:r>
    </w:p>
    <w:bookmarkEnd w:id="30"/>
    <w:bookmarkStart w:id="31" w:name="X6cb64e6e4ee60c3bfd814a1de38b2173898154a"/>
    <w:p>
      <w:pPr>
        <w:pStyle w:val="Heading3"/>
      </w:pPr>
      <w:r>
        <w:t xml:space="preserve">Apa itu Simpul KPBU dan Kantor Bersama KPBU?</w:t>
      </w:r>
    </w:p>
    <w:p>
      <w:pPr>
        <w:pStyle w:val="FirstParagraph"/>
      </w:pPr>
      <w:r>
        <w:t xml:space="preserve">Keduanya berbeda meski sering tertukar. Simpul KPBU dibentuk PJPK, melekat pada unit kerjanya, dan mendampingi proyek di setiap tahapan. Kantor Bersama KPBU adalah forum koordinasi lintas kementerian/lembaga yang berfungsi sebagai layanan terpadu untuk pelaksanaan KPBU secara nasional, beranggotakan antara lain Kementerian Keuangan dan Kementerian PPN/Bappenas.</w:t>
      </w:r>
    </w:p>
    <w:bookmarkEnd w:id="31"/>
    <w:bookmarkStart w:id="32" w:name="Xaed90289a4094e1e4a8701123598509aefc0362"/>
    <w:p>
      <w:pPr>
        <w:pStyle w:val="Heading3"/>
      </w:pPr>
      <w:r>
        <w:t xml:space="preserve">Berapa lama proses KPBU sampai financial close?</w:t>
      </w:r>
    </w:p>
    <w:p>
      <w:pPr>
        <w:pStyle w:val="FirstParagraph"/>
      </w:pPr>
      <w:r>
        <w:t xml:space="preserve">Tidak ada standar waktu yang diatur regulasi. Dalam praktiknya dokumen penyiapan umumnya disusun tiga sampai empat tahun sebelum proyek beroperasi, sementara durasi menuju</w:t>
      </w:r>
      <w:r>
        <w:t xml:space="preserve"> </w:t>
      </w:r>
      <w:r>
        <w:rPr>
          <w:i/>
          <w:iCs/>
        </w:rPr>
        <w:t xml:space="preserve">financial close</w:t>
      </w:r>
      <w:r>
        <w:t xml:space="preserve"> </w:t>
      </w:r>
      <w:r>
        <w:t xml:space="preserve">pernah disorot pada 2023 sebagai sekitar satu tahun. Perlakukan keduanya sebagai kisaran indikatif, bukan jadwal yang dijanjikan.</w:t>
      </w:r>
    </w:p>
    <w:bookmarkEnd w:id="32"/>
    <w:bookmarkStart w:id="33" w:name="X86b18aae9f4e985a8942e7afbdb0bf7e32c1545"/>
    <w:p>
      <w:pPr>
        <w:pStyle w:val="Heading3"/>
      </w:pPr>
      <w:r>
        <w:t xml:space="preserve">Siapa yang membiayai proyek pada skema KPBU?</w:t>
      </w:r>
    </w:p>
    <w:p>
      <w:pPr>
        <w:pStyle w:val="FirstParagraph"/>
      </w:pPr>
      <w:r>
        <w:t xml:space="preserve">Badan usaha pelaksana yang memenangi pengadaan, memakai kombinasi pinjaman</w:t>
      </w:r>
      <w:r>
        <w:t xml:space="preserve"> </w:t>
      </w:r>
      <w:r>
        <w:rPr>
          <w:i/>
          <w:iCs/>
        </w:rPr>
        <w:t xml:space="preserve">lender</w:t>
      </w:r>
      <w:r>
        <w:t xml:space="preserve"> </w:t>
      </w:r>
      <w:r>
        <w:t xml:space="preserve">dan ekuitas sponsor, bukan APBN atau APBD secara langsung. Pemerintah dapat menambahkan dukungan sesuai skema pengembalian investasi yang dipilih. Struktur ini relevan karena APBN dan APBD hanya menutup sekitar 40% kebutuhan investasi infrastruktur RPJMN 2025–2029 (pernyataan Juni 2025).</w:t>
      </w:r>
    </w:p>
    <w:bookmarkEnd w:id="33"/>
    <w:bookmarkEnd w:id="34"/>
    <w:bookmarkStart w:id="35" w:name="kesimpulan"/>
    <w:p>
      <w:pPr>
        <w:pStyle w:val="Heading2"/>
      </w:pPr>
      <w:r>
        <w:t xml:space="preserve">Kesimpulan</w:t>
      </w:r>
    </w:p>
    <w:p>
      <w:pPr>
        <w:pStyle w:val="FirstParagraph"/>
      </w:pPr>
      <w:r>
        <w:t xml:space="preserve">Dua panduan berbeda di layar pejabat tadi bukan soal ketelitian membaca, melainkan soal regulasi yang bergerak lebih cepat daripada materi penjelasnya. Urutannya tetap enam tahap; yang berubah ada di rinciannya. Sejak akhir Desember 2025, rujukan yang benar adalah Permen PPN/Kepala Bappenas No. 7 Tahun 2023 sebagaimana diubah Permen No. 9 Tahun 2025.</w:t>
      </w:r>
    </w:p>
    <w:p>
      <w:pPr>
        <w:pStyle w:val="BodyText"/>
      </w:pPr>
      <w:r>
        <w:t xml:space="preserve">Kepastian di tahap transaksi biasanya menjadi penentu terakhir. Sebagai Badan Usaha Penjaminan Infrastruktur di bawah Kementerian Keuangan, PT PII menjembatani kebutuhan kepastian investor dengan kemampuan fiskal negara, dan penjaminan pemerintah adalah salah satu instrumen yang membantu proyek menutup jarak terakhir menuju</w:t>
      </w:r>
      <w:r>
        <w:t xml:space="preserve"> </w:t>
      </w:r>
      <w:r>
        <w:rPr>
          <w:i/>
          <w:iCs/>
        </w:rPr>
        <w:t xml:space="preserve">financial close</w:t>
      </w:r>
      <w:r>
        <w:t xml:space="preserve">.</w:t>
      </w:r>
    </w:p>
    <w:p>
      <w:pPr>
        <w:pStyle w:val="BodyText"/>
      </w:pPr>
      <w:r>
        <w:t xml:space="preserve">Cara kerja penjaminan pemerintah pada proyek KPBU, termasuk posisinya di tahap transaksi, dapat Anda telusuri lebih lanjut di ptpii.co.id.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jdih.kemenkeu.go.id/dok/perpres-38-tahun-2015" TargetMode="External" /><Relationship Type="http://schemas.openxmlformats.org/officeDocument/2006/relationships/hyperlink" Id="rId26" Target="https://kpbu.kemenkeu.go.id/read/1094-1255/pjpk/dukungan-pemerintah/fasilitas-penyiapan-proyek" TargetMode="External" /><Relationship Type="http://schemas.openxmlformats.org/officeDocument/2006/relationships/hyperlink" Id="rId23" Target="https://peraturan.go.id/id/permen-ppn-bappenas-no-9-tahun-2025" TargetMode="External" /><Relationship Type="http://schemas.openxmlformats.org/officeDocument/2006/relationships/hyperlink" Id="rId17" Target="https://www.ptpii.co.id/kpbu" TargetMode="External" /><Relationship Type="http://schemas.openxmlformats.org/officeDocument/2006/relationships/hyperlink" Id="rId25" Target="https://www.ptpii.co.id/pembiayaan-kreatif" TargetMode="External" /><Relationship Type="http://schemas.openxmlformats.org/officeDocument/2006/relationships/hyperlink" Id="rId18"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19" Target="https://jdih.kemenkeu.go.id/dok/perpres-38-tahun-2015" TargetMode="External" /><Relationship Type="http://schemas.openxmlformats.org/officeDocument/2006/relationships/hyperlink" Id="rId26" Target="https://kpbu.kemenkeu.go.id/read/1094-1255/pjpk/dukungan-pemerintah/fasilitas-penyiapan-proyek" TargetMode="External" /><Relationship Type="http://schemas.openxmlformats.org/officeDocument/2006/relationships/hyperlink" Id="rId23" Target="https://peraturan.go.id/id/permen-ppn-bappenas-no-9-tahun-2025" TargetMode="External" /><Relationship Type="http://schemas.openxmlformats.org/officeDocument/2006/relationships/hyperlink" Id="rId17" Target="https://www.ptpii.co.id/kpbu" TargetMode="External" /><Relationship Type="http://schemas.openxmlformats.org/officeDocument/2006/relationships/hyperlink" Id="rId25" Target="https://www.ptpii.co.id/pembiayaan-kreatif" TargetMode="External" /><Relationship Type="http://schemas.openxmlformats.org/officeDocument/2006/relationships/hyperlink" Id="rId18"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2026-08-12T09:08:30Z</dcterms:created>
  <dcterms:modified xsi:type="dcterms:W3CDTF">2026-08-12T09:08:30Z</dcterms:modified>
</cp:coreProperties>
</file>

<file path=docProps/custom.xml><?xml version="1.0" encoding="utf-8"?>
<Properties xmlns="http://schemas.openxmlformats.org/officeDocument/2006/custom-properties" xmlns:vt="http://schemas.openxmlformats.org/officeDocument/2006/docPropsVTypes"/>
</file>