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"KPBU atau APBN? Cara Menentukan Skema yang Tepat untuk Proyek"</w:t>
      </w:r>
      <w:r>
        <w:br/>
      </w:r>
      <w:r>
        <w:rPr>
          <w:rStyle w:val="FunctionTok"/>
        </w:rPr>
        <w:t xml:space="preserve">meta_title</w:t>
      </w:r>
      <w:r>
        <w:rPr>
          <w:rStyle w:val="KeywordTok"/>
        </w:rPr>
        <w:t xml:space="preserve">:</w:t>
      </w:r>
      <w:r>
        <w:rPr>
          <w:rStyle w:val="AttributeTok"/>
        </w:rPr>
        <w:t xml:space="preserve"> </w:t>
      </w:r>
      <w:r>
        <w:rPr>
          <w:rStyle w:val="StringTok"/>
        </w:rPr>
        <w:t xml:space="preserve">"KPBU atau APBN? Cara Menentukan Skema Proyek"</w:t>
      </w:r>
      <w:r>
        <w:br/>
      </w:r>
      <w:r>
        <w:rPr>
          <w:rStyle w:val="FunctionTok"/>
        </w:rPr>
        <w:t xml:space="preserve">meta_description</w:t>
      </w:r>
      <w:r>
        <w:rPr>
          <w:rStyle w:val="KeywordTok"/>
        </w:rPr>
        <w:t xml:space="preserve">:</w:t>
      </w:r>
      <w:r>
        <w:rPr>
          <w:rStyle w:val="AttributeTok"/>
        </w:rPr>
        <w:t xml:space="preserve"> </w:t>
      </w:r>
      <w:r>
        <w:rPr>
          <w:rStyle w:val="StringTok"/>
        </w:rPr>
        <w:t xml:space="preserve">"KPBU atau APBN biasa? Kerangka Value for Money, tabel perbandingan tujuh sumbu, dan sinyal jujur kapan skema KPBU justru tidak tepat untuk proyek Anda."</w:t>
      </w:r>
      <w:r>
        <w:br/>
      </w:r>
      <w:r>
        <w:rPr>
          <w:rStyle w:val="FunctionTok"/>
        </w:rPr>
        <w:t xml:space="preserve">slug</w:t>
      </w:r>
      <w:r>
        <w:rPr>
          <w:rStyle w:val="KeywordTok"/>
        </w:rPr>
        <w:t xml:space="preserve">:</w:t>
      </w:r>
      <w:r>
        <w:rPr>
          <w:rStyle w:val="AttributeTok"/>
        </w:rPr>
        <w:t xml:space="preserve"> </w:t>
      </w:r>
      <w:r>
        <w:rPr>
          <w:rStyle w:val="StringTok"/>
        </w:rPr>
        <w:t xml:space="preserve">"kpbu-atau-apbn-value-for-money"</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"KPBU vs pengadaan konvensional"</w:t>
      </w:r>
      <w:r>
        <w:br/>
      </w:r>
      <w:r>
        <w:rPr>
          <w:rStyle w:val="AttributeTok"/>
        </w:rPr>
        <w:t xml:space="preserve">  </w:t>
      </w:r>
      <w:r>
        <w:rPr>
          <w:rStyle w:val="KeywordTok"/>
        </w:rPr>
        <w:t xml:space="preserve">-</w:t>
      </w:r>
      <w:r>
        <w:rPr>
          <w:rStyle w:val="AttributeTok"/>
        </w:rPr>
        <w:t xml:space="preserve"> </w:t>
      </w:r>
      <w:r>
        <w:rPr>
          <w:rStyle w:val="StringTok"/>
        </w:rPr>
        <w:t xml:space="preserve">"Value for Money"</w:t>
      </w:r>
      <w:r>
        <w:br/>
      </w:r>
      <w:r>
        <w:rPr>
          <w:rStyle w:val="AttributeTok"/>
        </w:rPr>
        <w:t xml:space="preserve">  </w:t>
      </w:r>
      <w:r>
        <w:rPr>
          <w:rStyle w:val="KeywordTok"/>
        </w:rPr>
        <w:t xml:space="preserve">-</w:t>
      </w:r>
      <w:r>
        <w:rPr>
          <w:rStyle w:val="AttributeTok"/>
        </w:rPr>
        <w:t xml:space="preserve"> </w:t>
      </w:r>
      <w:r>
        <w:rPr>
          <w:rStyle w:val="StringTok"/>
        </w:rPr>
        <w:t xml:space="preserve">"pengadaan konvensional APBN"</w:t>
      </w:r>
      <w:r>
        <w:br/>
      </w:r>
      <w:r>
        <w:rPr>
          <w:rStyle w:val="AttributeTok"/>
        </w:rPr>
        <w:t xml:space="preserve">  </w:t>
      </w:r>
      <w:r>
        <w:rPr>
          <w:rStyle w:val="KeywordTok"/>
        </w:rPr>
        <w:t xml:space="preserve">-</w:t>
      </w:r>
      <w:r>
        <w:rPr>
          <w:rStyle w:val="AttributeTok"/>
        </w:rPr>
        <w:t xml:space="preserve"> </w:t>
      </w:r>
      <w:r>
        <w:rPr>
          <w:rStyle w:val="StringTok"/>
        </w:rPr>
        <w:t xml:space="preserve">"biaya transaksi proyek"</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"user charge"</w:t>
      </w:r>
      <w:r>
        <w:br/>
      </w:r>
      <w:r>
        <w:rPr>
          <w:rStyle w:val="AttributeTok"/>
        </w:rPr>
        <w:t xml:space="preserve">  </w:t>
      </w:r>
      <w:r>
        <w:rPr>
          <w:rStyle w:val="KeywordTok"/>
        </w:rPr>
        <w:t xml:space="preserve">-</w:t>
      </w:r>
      <w:r>
        <w:rPr>
          <w:rStyle w:val="AttributeTok"/>
        </w:rPr>
        <w:t xml:space="preserve"> </w:t>
      </w:r>
      <w:r>
        <w:rPr>
          <w:rStyle w:val="StringTok"/>
        </w:rPr>
        <w:t xml:space="preserve">"Dukungan Kelayakan"</w:t>
      </w:r>
      <w:r>
        <w:br/>
      </w:r>
      <w:r>
        <w:rPr>
          <w:rStyle w:val="AttributeTok"/>
        </w:rPr>
        <w:t xml:space="preserve">  </w:t>
      </w:r>
      <w:r>
        <w:rPr>
          <w:rStyle w:val="KeywordTok"/>
        </w:rPr>
        <w:t xml:space="preserve">-</w:t>
      </w:r>
      <w:r>
        <w:rPr>
          <w:rStyle w:val="AttributeTok"/>
        </w:rPr>
        <w:t xml:space="preserve"> </w:t>
      </w:r>
      <w:r>
        <w:rPr>
          <w:rStyle w:val="StringTok"/>
        </w:rPr>
        <w:t xml:space="preserve">"KPBU skala kecil"</w:t>
      </w:r>
      <w:r>
        <w:br/>
      </w:r>
      <w:r>
        <w:rPr>
          <w:rStyle w:val="AttributeTok"/>
        </w:rPr>
        <w:t xml:space="preserve">  </w:t>
      </w:r>
      <w:r>
        <w:rPr>
          <w:rStyle w:val="KeywordTok"/>
        </w:rPr>
        <w:t xml:space="preserve">-</w:t>
      </w:r>
      <w:r>
        <w:rPr>
          <w:rStyle w:val="AttributeTok"/>
        </w:rPr>
        <w:t xml:space="preserve"> </w:t>
      </w:r>
      <w:r>
        <w:rPr>
          <w:rStyle w:val="StringTok"/>
        </w:rPr>
        <w:t xml:space="preserve">"pembagian risiko proyek"</w:t>
      </w:r>
      <w:r>
        <w:br/>
      </w:r>
      <w:r>
        <w:rPr>
          <w:rStyle w:val="AttributeTok"/>
        </w:rPr>
        <w:t xml:space="preserve">  </w:t>
      </w:r>
      <w:r>
        <w:rPr>
          <w:rStyle w:val="KeywordTok"/>
        </w:rPr>
        <w:t xml:space="preserve">-</w:t>
      </w:r>
      <w:r>
        <w:rPr>
          <w:rStyle w:val="AttributeTok"/>
        </w:rPr>
        <w:t xml:space="preserve"> </w:t>
      </w:r>
      <w:r>
        <w:rPr>
          <w:rStyle w:val="StringTok"/>
        </w:rPr>
        <w:t xml:space="preserve">"kewajiban kontinjensi"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"https://kpbu.kemenkeu.go.id/read/1092-1254/pjpk/guideline-dan-toolkit/panduan-value-for-money"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Value for Money, ketiadaan ambang kuantitatif terkodifikasi, dan pengakuan resmi atas biaya penyiapan/transaksi/kontraktual khas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"https://simpulkpbu.pu.go.id/pages/panduan-investasi/skema-pengembalian"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Availability Payment dan user charge serta pemetaan pemikul risiko permintaan"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"Payung regulasi dukungan pemerintah terkini (Dukungan Kelayakan/VGF, penjaminan, fasilitas penyiapan proyek), berlaku sejak 18 Oktober 2024"</w:t>
      </w:r>
      <w:r>
        <w:br/>
      </w:r>
      <w:r>
        <w:rPr>
          <w:rStyle w:val="FunctionTok"/>
        </w:rPr>
        <w:t xml:space="preserve">brief_id</w:t>
      </w:r>
      <w:r>
        <w:rPr>
          <w:rStyle w:val="KeywordTok"/>
        </w:rPr>
        <w:t xml:space="preserve">:</w:t>
      </w:r>
      <w:r>
        <w:rPr>
          <w:rStyle w:val="AttributeTok"/>
        </w:rPr>
        <w:t xml:space="preserve"> </w:t>
      </w:r>
      <w:r>
        <w:rPr>
          <w:rStyle w:val="StringTok"/>
        </w:rPr>
        <w:t xml:space="preserve">"kpbu-02"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1774</w:t>
      </w:r>
    </w:p>
    <w:p>
      <w:r>
        <w:pict>
          <v:rect style="width:0;height:1.5pt" o:hralign="center" o:hrstd="t" o:hr="t"/>
        </w:pict>
      </w:r>
    </w:p>
    <w:bookmarkEnd w:id="16"/>
    <w:bookmarkStart w:id="36" w:name="X2c40350226a31c7299b9e5ccc73f1f4a76c5cea"/>
    <w:p>
      <w:pPr>
        <w:pStyle w:val="Heading1"/>
      </w:pPr>
      <w:r>
        <w:t xml:space="preserve">KPBU atau APBN? Cara Menentukan Skema yang Tepat untuk Proyek</w:t>
      </w:r>
    </w:p>
    <w:p>
      <w:pPr>
        <w:pStyle w:val="FirstParagraph"/>
      </w:pPr>
      <w:r>
        <w:t xml:space="preserve">Urutan keputusan di ruang rapat penyiapan proyek sering terbalik. Skema dipilih lebih dulu, biasanya karena APBD tidak cukup, lalu proyek didorong masuk ke kerangka</w:t>
      </w:r>
      <w:r>
        <w:t xml:space="preserve"> </w:t>
      </w:r>
      <w:hyperlink r:id="rId17">
        <w:r>
          <w:rPr>
            <w:rStyle w:val="Hyperlink"/>
          </w:rPr>
          <w:t xml:space="preserve">skema KPBU</w:t>
        </w:r>
      </w:hyperlink>
      <w:r>
        <w:t xml:space="preserve">. Bertahun-tahun berselang, tim penyiapan baru menyadari biaya penyiapan dan transaksi menggerus manfaat yang diharapkan. Pertanyaannya seharusnya datang lebih awal: apakah proyek ini memang lebih baik lewat KPBU dibanding pengadaan konvensional APBN? Artikel ini menyusun kerangka</w:t>
      </w:r>
      <w:r>
        <w:t xml:space="preserve"> </w:t>
      </w:r>
      <w:r>
        <w:rPr>
          <w:i/>
          <w:iCs/>
        </w:rPr>
        <w:t xml:space="preserve">Value for Money</w:t>
      </w:r>
      <w:r>
        <w:t xml:space="preserve"> </w:t>
      </w:r>
      <w:r>
        <w:t xml:space="preserve">dan kriteria keputusan untuk menjawabnya, termasuk kapan jawaban jujurnya adalah tidak.</w:t>
      </w:r>
    </w:p>
    <w:p>
      <w:pPr>
        <w:pStyle w:val="BlockText"/>
      </w:pPr>
      <w:r>
        <w:rPr>
          <w:b/>
          <w:bCs/>
        </w:rPr>
        <w:t xml:space="preserve">Ringkasnya:</w:t>
      </w:r>
      <w:r>
        <w:t xml:space="preserve"> </w:t>
      </w:r>
      <w:r>
        <w:t xml:space="preserve">KPBU (Kerja Sama Pemerintah dengan Badan Usaha) adalah skema penyediaan infrastruktur untuk kepentingan umum yang sebagian atau seluruh sumber dayanya berasal dari badan usaha, dengan risiko dibagi berdasarkan kontrak jangka panjang. Pengadaan konvensional membiayai proyek penuh lewat APBN/APBD dan menahan risikonya di pemerintah; KPBU memindahkan sebagian keduanya ke badan usaha pelaksana (Peraturan Presiden No. 38 Tahun 2015).</w:t>
      </w:r>
    </w:p>
    <w:bookmarkStart w:id="18" w:name="X7c676576f0bdcb0abb297ed15f00066b673c8f3"/>
    <w:p>
      <w:pPr>
        <w:pStyle w:val="Heading2"/>
      </w:pPr>
      <w:r>
        <w:t xml:space="preserve">Apa itu KPBU dan apa bedanya dengan pengadaan konvensional APBN?</w:t>
      </w:r>
    </w:p>
    <w:p>
      <w:pPr>
        <w:pStyle w:val="FirstParagraph"/>
      </w:pPr>
      <w:r>
        <w:t xml:space="preserve">KPBU dan pengadaan konvensional berbeda pada tiga hal: sumber pendanaan (badan usaha versus APBN/APBD), pemikul risiko (dibagi lewat kontrak versus hampir seluruhnya di pemerintah), dan waktu pembayaran (setelah layanan tersedia versus mengikuti progres konstruksi). Payung hukumnya Peraturan Presiden No. 38 Tahun 2015, berstatus masih berlaku per pengecekan Agustus 2026.</w:t>
      </w:r>
    </w:p>
    <w:p>
      <w:pPr>
        <w:pStyle w:val="BodyText"/>
      </w:pPr>
      <w:r>
        <w:t xml:space="preserve">Perbedaan yang paling menentukan bukan siapa yang membangun, melainkan apa yang dibeli pemerintah. Pada pengadaan konvensional, pemerintah membeli aset: pekerjaan selesai, aset diserahterimakan, hubungan kontraktual berakhir. Pada KPBU, pemerintah membeli layanan sepanjang masa kerja sama, dan badan usaha tetap terikat pada kinerja aset lama setelah konstruksi rampung.</w:t>
      </w:r>
    </w:p>
    <w:p>
      <w:pPr>
        <w:pStyle w:val="BodyText"/>
      </w:pPr>
      <w:r>
        <w:t xml:space="preserve">Pertanyaan ini relevan karena aritmetikanya tidak pernah cocok. Kebutuhan pembiayaan infrastruktur nasional lintas sektor untuk periode RPJMN 2025–2029 diperkirakan sekitar USD 625,37 miliar atau setara Rp 10.146–10.303 triliun, sementara kontribusi APBN dan APBD digabung diperkirakan hanya sekitar 40 persen dari angka itu (Kementerian Keuangan, Juni 2025). Sebagai pembanding retrospektif, KPBU dan penugasan tercatat menyumbang 21,4 persen atau sekitar Rp 440 triliun dari kebutuhan periode RPJMN 2020–2024 (forum pembiayaan infrastruktur pemerintah, Juni 2025).</w:t>
      </w:r>
    </w:p>
    <w:p>
      <w:pPr>
        <w:pStyle w:val="BodyText"/>
      </w:pPr>
      <w:r>
        <w:t xml:space="preserve">Angka itu menjelaskan mengapa KPBU didorong, tetapi tidak menjawab apakah satu proyek layak memakainya.</w:t>
      </w:r>
    </w:p>
    <w:bookmarkEnd w:id="18"/>
    <w:bookmarkStart w:id="19" w:name="X66f9ada126d93bbc232aa5b6356e837823fd0ee"/>
    <w:p>
      <w:pPr>
        <w:pStyle w:val="Heading2"/>
      </w:pPr>
      <w:r>
        <w:t xml:space="preserve">KPBU vs pengadaan konvensional: perbandingan pada tujuh sumbu</w:t>
      </w:r>
    </w:p>
    <w:p>
      <w:pPr>
        <w:pStyle w:val="FirstParagraph"/>
      </w:pPr>
      <w:r>
        <w:t xml:space="preserve">Tujuh sumbu membedakan keduanya secara operasional: sumber pendanaan, pemikul risiko konstruksi, pemikul risiko permintaan, waktu dan dasar pembayaran, durasi keterikatan, biaya penyiapan dan transaksi, serta dampak fiskal. Tidak ada sumbu yang otomatis memenangkan satu skema; yang menentukan adalah karakter proyek dan kesiapan PJPK (Penanggung Jawab Proyek Kerja Sama).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Sumbu</w:t>
            </w:r>
          </w:p>
        </w:tc>
        <w:tc>
          <w:tcPr/>
          <w:p>
            <w:pPr>
              <w:pStyle w:val="Compact"/>
            </w:pPr>
            <w:r>
              <w:t xml:space="preserve">KPBU</w:t>
            </w:r>
          </w:p>
        </w:tc>
        <w:tc>
          <w:tcPr/>
          <w:p>
            <w:pPr>
              <w:pStyle w:val="Compact"/>
            </w:pPr>
            <w:r>
              <w:t xml:space="preserve">Pengadaan konvensional (APBN/APBD)</w:t>
            </w:r>
          </w:p>
        </w:tc>
      </w:tr>
      <w:tr>
        <w:tc>
          <w:tcPr/>
          <w:p>
            <w:pPr>
              <w:pStyle w:val="Compact"/>
            </w:pPr>
            <w:r>
              <w:t xml:space="preserve">Sumber pendanaan</w:t>
            </w:r>
          </w:p>
        </w:tc>
        <w:tc>
          <w:tcPr/>
          <w:p>
            <w:pPr>
              <w:pStyle w:val="Compact"/>
            </w:pPr>
            <w:r>
              <w:t xml:space="preserve">Sebagian atau seluruh investasi awal dari badan usaha, dapat ditambah Dukungan Kelayakan</w:t>
            </w:r>
          </w:p>
        </w:tc>
        <w:tc>
          <w:tcPr/>
          <w:p>
            <w:pPr>
              <w:pStyle w:val="Compact"/>
            </w:pPr>
            <w:r>
              <w:t xml:space="preserve">Seluruh belanja modal dari APBN/APBD, dianggarkan di muka</w:t>
            </w:r>
          </w:p>
        </w:tc>
      </w:tr>
      <w:tr>
        <w:tc>
          <w:tcPr/>
          <w:p>
            <w:pPr>
              <w:pStyle w:val="Compact"/>
            </w:pPr>
            <w:r>
              <w:t xml:space="preserve">Risiko konstruksi</w:t>
            </w:r>
          </w:p>
        </w:tc>
        <w:tc>
          <w:tcPr/>
          <w:p>
            <w:pPr>
              <w:pStyle w:val="Compact"/>
            </w:pPr>
            <w:r>
              <w:t xml:space="preserve">Umumnya dialihkan ke badan usaha; pembayaran terkait pada penyelesaian dan kinerja aset</w:t>
            </w:r>
          </w:p>
        </w:tc>
        <w:tc>
          <w:tcPr/>
          <w:p>
            <w:pPr>
              <w:pStyle w:val="Compact"/>
            </w:pPr>
            <w:r>
              <w:t xml:space="preserve">Tetap di pemerintah; kontraktor dibayar per termin pekerjaan</w:t>
            </w:r>
          </w:p>
        </w:tc>
      </w:tr>
      <w:tr>
        <w:tc>
          <w:tcPr/>
          <w:p>
            <w:pPr>
              <w:pStyle w:val="Compact"/>
            </w:pPr>
            <w:r>
              <w:t xml:space="preserve">Risiko permintaan</w:t>
            </w:r>
          </w:p>
        </w:tc>
        <w:tc>
          <w:tcPr/>
          <w:p>
            <w:pPr>
              <w:pStyle w:val="Compact"/>
            </w:pPr>
            <w:r>
              <w:t xml:space="preserve">Availability Payment menempatkannya di PJPK;</w:t>
            </w:r>
            <w:r>
              <w:t xml:space="preserve"> </w:t>
            </w:r>
            <w:r>
              <w:rPr>
                <w:i/>
                <w:iCs/>
              </w:rPr>
              <w:t xml:space="preserve">user charge</w:t>
            </w:r>
            <w:r>
              <w:t xml:space="preserve"> </w:t>
            </w:r>
            <w:r>
              <w:t xml:space="preserve">menempatkannya di badan usaha</w:t>
            </w:r>
          </w:p>
        </w:tc>
        <w:tc>
          <w:tcPr/>
          <w:p>
            <w:pPr>
              <w:pStyle w:val="Compact"/>
            </w:pPr>
            <w:r>
              <w:t xml:space="preserve">Melekat pada pemerintah sejak awal, bukan risiko kontraktual</w:t>
            </w:r>
          </w:p>
        </w:tc>
      </w:tr>
      <w:tr>
        <w:tc>
          <w:tcPr/>
          <w:p>
            <w:pPr>
              <w:pStyle w:val="Compact"/>
            </w:pPr>
            <w:r>
              <w:t xml:space="preserve">Waktu dan dasar pembayaran</w:t>
            </w:r>
          </w:p>
        </w:tc>
        <w:tc>
          <w:tcPr/>
          <w:p>
            <w:pPr>
              <w:pStyle w:val="Compact"/>
            </w:pPr>
            <w:r>
              <w:t xml:space="preserve">Setelah layanan tersedia dan memenuhi kriteria kinerja, atau dari tarif pengguna</w:t>
            </w:r>
          </w:p>
        </w:tc>
        <w:tc>
          <w:tcPr/>
          <w:p>
            <w:pPr>
              <w:pStyle w:val="Compact"/>
            </w:pPr>
            <w:r>
              <w:t xml:space="preserve">Berdasarkan termin dan progres selama masa konstruksi</w:t>
            </w:r>
          </w:p>
        </w:tc>
      </w:tr>
      <w:tr>
        <w:tc>
          <w:tcPr/>
          <w:p>
            <w:pPr>
              <w:pStyle w:val="Compact"/>
            </w:pPr>
            <w:r>
              <w:t xml:space="preserve">Durasi keterikatan</w:t>
            </w:r>
          </w:p>
        </w:tc>
        <w:tc>
          <w:tcPr/>
          <w:p>
            <w:pPr>
              <w:pStyle w:val="Compact"/>
            </w:pPr>
            <w:r>
              <w:t xml:space="preserve">Jangka panjang, sepanjang masa kerja sama; tenor bervariasi per sektor</w:t>
            </w:r>
          </w:p>
        </w:tc>
        <w:tc>
          <w:tcPr/>
          <w:p>
            <w:pPr>
              <w:pStyle w:val="Compact"/>
            </w:pPr>
            <w:r>
              <w:t xml:space="preserve">Berakhir setelah masa pemeliharaan selesai dan aset diserahterimakan</w:t>
            </w:r>
          </w:p>
        </w:tc>
      </w:tr>
      <w:tr>
        <w:tc>
          <w:tcPr/>
          <w:p>
            <w:pPr>
              <w:pStyle w:val="Compact"/>
            </w:pPr>
            <w:r>
              <w:t xml:space="preserve">Biaya penyiapan dan transaksi</w:t>
            </w:r>
          </w:p>
        </w:tc>
        <w:tc>
          <w:tcPr/>
          <w:p>
            <w:pPr>
              <w:pStyle w:val="Compact"/>
            </w:pPr>
            <w:r>
              <w:t xml:space="preserve">Ada lapisan biaya penyiapan, transaksi, dan kontraktual yang relatif tetap</w:t>
            </w:r>
          </w:p>
        </w:tc>
        <w:tc>
          <w:tcPr/>
          <w:p>
            <w:pPr>
              <w:pStyle w:val="Compact"/>
            </w:pPr>
            <w:r>
              <w:t xml:space="preserve">Mengikuti mekanisme pengadaan barang/jasa standar</w:t>
            </w:r>
          </w:p>
        </w:tc>
      </w:tr>
      <w:tr>
        <w:tc>
          <w:tcPr/>
          <w:p>
            <w:pPr>
              <w:pStyle w:val="Compact"/>
            </w:pPr>
            <w:r>
              <w:t xml:space="preserve">Dampak fiskal</w:t>
            </w:r>
          </w:p>
        </w:tc>
        <w:tc>
          <w:tcPr/>
          <w:p>
            <w:pPr>
              <w:pStyle w:val="Compact"/>
            </w:pPr>
            <w:r>
              <w:t xml:space="preserve">Meringankan belanja modal tahun berjalan, menciptakan kewajiban jangka panjang</w:t>
            </w:r>
          </w:p>
        </w:tc>
        <w:tc>
          <w:tcPr/>
          <w:p>
            <w:pPr>
              <w:pStyle w:val="Compact"/>
            </w:pPr>
            <w:r>
              <w:t xml:space="preserve">Membebani ruang fiskal tahun berjalan, tanpa kewajiban lanjutan</w:t>
            </w:r>
          </w:p>
        </w:tc>
      </w:tr>
    </w:tbl>
    <w:p>
      <w:pPr>
        <w:pStyle w:val="BodyText"/>
      </w:pPr>
      <w:r>
        <w:t xml:space="preserve">Baris ketiga paling sering tertukar di ruang rapat, dan konsekuensinya melekat sampai akhir kontrak.</w:t>
      </w:r>
    </w:p>
    <w:bookmarkEnd w:id="19"/>
    <w:bookmarkStart w:id="23" w:name="Xe06159ddb35c27331d0712e750f3aa3a78b0312"/>
    <w:p>
      <w:pPr>
        <w:pStyle w:val="Heading2"/>
      </w:pPr>
      <w:r>
        <w:t xml:space="preserve">Bagaimana Value for Money menentukan skema yang dipakai?</w:t>
      </w:r>
    </w:p>
    <w:p>
      <w:pPr>
        <w:pStyle w:val="FirstParagraph"/>
      </w:pPr>
      <w:r>
        <w:rPr>
          <w:i/>
          <w:iCs/>
        </w:rPr>
        <w:t xml:space="preserve">Value for Money</w:t>
      </w:r>
      <w:r>
        <w:t xml:space="preserve"> </w:t>
      </w:r>
      <w:r>
        <w:t xml:space="preserve">(VfM) menguji apakah manfaat skema KPBU sepadan dengan seluruh biaya yang menyertainya. Panduan resmi Kementerian Keuangan menilainya lewat kombinasi analisis kualitatif dan kuantitatif di beberapa tahap proyek, bukan lewat satu perhitungan di awal, dan bukan sekadar mencari harga termurah.</w:t>
      </w:r>
    </w:p>
    <w:p>
      <w:pPr>
        <w:pStyle w:val="BodyText"/>
      </w:pPr>
      <w:r>
        <w:t xml:space="preserve">Satu hal perlu dinyatakan terus terang: Indonesia tidak memiliki ambang VfM kuantitatif yang dikodifikasi secara nasional. Tidak ada aturan lintas sektor yang mewajibkan VfM berada di atas persentase tertentu dibanding pembanding sektor publik (</w:t>
      </w:r>
      <w:hyperlink r:id="rId20">
        <w:r>
          <w:rPr>
            <w:rStyle w:val="Hyperlink"/>
          </w:rPr>
          <w:t xml:space="preserve">Portal KPBU Kementerian Keuangan</w:t>
        </w:r>
      </w:hyperlink>
      <w:r>
        <w:t xml:space="preserve">, diakses 2026). Beban pembuktian sepenuhnya ada pada kualitas kajian PJPK.</w:t>
      </w:r>
    </w:p>
    <w:p>
      <w:pPr>
        <w:pStyle w:val="BodyText"/>
      </w:pPr>
      <w:r>
        <w:t xml:space="preserve">Penilaiannya juga berulang. VfM ditimbang di tahap perencanaan, diperdalam di tahap penyiapan, dipakai lagi sebagai uji kewajaran saat evaluasi penawaran, dan dirujuk kembali ketika kontrak diamendemen. Kementerian Keuangan turut menilainya saat memutuskan alokasi dukungan pemerintah.</w:t>
      </w:r>
    </w:p>
    <w:p>
      <w:pPr>
        <w:pStyle w:val="BodyText"/>
      </w:pPr>
      <w:r>
        <w:t xml:space="preserve">Sumber bebannya diakui secara resmi. Panduan yang sama menyebut KPBU membawa</w:t>
      </w:r>
      <w:r>
        <w:t xml:space="preserve"> </w:t>
      </w:r>
      <w:r>
        <w:t xml:space="preserve">“biaya penyiapan, transaksi, biaya kontraktual, dan biaya-biaya lain yang umumnya tidak ada dalam pengadaan barang/dan jasa”</w:t>
      </w:r>
      <w:r>
        <w:t xml:space="preserve">. Karena biaya itu relatif tetap, semakin kecil nilai proyek, semakin berat proporsi bebannya. VfM proyek kecil bisa keluar negatif tanpa ada yang berbuat salah.</w:t>
      </w:r>
    </w:p>
    <w:p>
      <w:pPr>
        <w:pStyle w:val="BodyText"/>
      </w:pPr>
      <w:r>
        <w:t xml:space="preserve">Untuk proyek yang layak secara ekonomi tetapi belum layak secara finansial, tersedia Dukungan Kelayakan atau</w:t>
      </w:r>
      <w:r>
        <w:t xml:space="preserve"> </w:t>
      </w:r>
      <w:r>
        <w:rPr>
          <w:i/>
          <w:iCs/>
        </w:rPr>
        <w:t xml:space="preserve">Viability Gap Fund</w:t>
      </w:r>
      <w:r>
        <w:t xml:space="preserve"> </w:t>
      </w:r>
      <w:r>
        <w:t xml:space="preserve">(VGF), kontribusi fiskal tunai atas sebagian biaya konstruksi. Instrumen ini kini berada dalam kerangka</w:t>
      </w:r>
      <w:r>
        <w:t xml:space="preserve"> </w:t>
      </w:r>
      <w:hyperlink r:id="rId21">
        <w:r>
          <w:rPr>
            <w:rStyle w:val="Hyperlink"/>
          </w:rPr>
          <w:t xml:space="preserve">Peraturan Menteri Keuangan No. 68 Tahun 2024</w:t>
        </w:r>
      </w:hyperlink>
      <w:r>
        <w:t xml:space="preserve">, berlaku sejak 18 Oktober 2024 dan mencabut enam peraturan menteri keuangan sebelumnya. Kerangka pengujian semacam ini juga standar dalam praktik</w:t>
      </w:r>
      <w:r>
        <w:t xml:space="preserve"> </w:t>
      </w:r>
      <w:hyperlink r:id="rId22">
        <w:r>
          <w:rPr>
            <w:rStyle w:val="Hyperlink"/>
          </w:rPr>
          <w:t xml:space="preserve">public private partnership</w:t>
        </w:r>
      </w:hyperlink>
      <w:r>
        <w:t xml:space="preserve"> </w:t>
      </w:r>
      <w:r>
        <w:t xml:space="preserve">internasional.</w:t>
      </w:r>
    </w:p>
    <w:bookmarkEnd w:id="23"/>
    <w:bookmarkStart w:id="25" w:name="Xf701fe88975cde1ebb482049ee26b2c44c0e277"/>
    <w:p>
      <w:pPr>
        <w:pStyle w:val="Heading2"/>
      </w:pPr>
      <w:r>
        <w:t xml:space="preserve">Kapan skema KPBU masuk akal: enam kriteria yang perlu dipenuhi</w:t>
      </w:r>
    </w:p>
    <w:p>
      <w:pPr>
        <w:pStyle w:val="FirstParagraph"/>
      </w:pPr>
      <w:r>
        <w:t xml:space="preserve">KPBU masuk akal ketika nilai proyeknya cukup besar untuk menyerap biaya transaksi, kebutuhan layanannya berjangka panjang dan dapat dikontrakkan berbasis keluaran, ada risiko yang lebih baik dikelola badan usaha, pendapatannya dapat diprediksi, dan komitmen kelembagaan PJPK bertahan melewati satu periode kepemimpinan.</w:t>
      </w:r>
    </w:p>
    <w:p>
      <w:pPr>
        <w:pStyle w:val="Compact"/>
        <w:numPr>
          <w:ilvl w:val="0"/>
          <w:numId w:val="1001"/>
        </w:numPr>
      </w:pPr>
      <w:r>
        <w:rPr>
          <w:b/>
          <w:bCs/>
        </w:rPr>
        <w:t xml:space="preserve">Nilai proyek memadai.</w:t>
      </w:r>
      <w:r>
        <w:t xml:space="preserve"> </w:t>
      </w:r>
      <w:r>
        <w:t xml:space="preserve">Cukup besar untuk menyerap biaya penyiapan dan transaksi yang relatif tetap.</w:t>
      </w:r>
    </w:p>
    <w:p>
      <w:pPr>
        <w:pStyle w:val="Compact"/>
        <w:numPr>
          <w:ilvl w:val="0"/>
          <w:numId w:val="1001"/>
        </w:numPr>
      </w:pPr>
      <w:r>
        <w:rPr>
          <w:b/>
          <w:bCs/>
        </w:rPr>
        <w:t xml:space="preserve">Kebutuhan berjangka panjang.</w:t>
      </w:r>
      <w:r>
        <w:t xml:space="preserve"> </w:t>
      </w:r>
      <w:r>
        <w:t xml:space="preserve">Layanan dibutuhkan bertahun-tahun, bukan sekali selesai lalu berhenti.</w:t>
      </w:r>
    </w:p>
    <w:p>
      <w:pPr>
        <w:pStyle w:val="Compact"/>
        <w:numPr>
          <w:ilvl w:val="0"/>
          <w:numId w:val="1001"/>
        </w:numPr>
      </w:pPr>
      <w:r>
        <w:rPr>
          <w:b/>
          <w:bCs/>
        </w:rPr>
        <w:t xml:space="preserve">Spesifikasi terkontrakkan berbasis keluaran.</w:t>
      </w:r>
      <w:r>
        <w:t xml:space="preserve"> </w:t>
      </w:r>
      <w:r>
        <w:t xml:space="preserve">Kinerja bisa diukur dan dibayar, bukan sekadar input dan proses.</w:t>
      </w:r>
    </w:p>
    <w:p>
      <w:pPr>
        <w:pStyle w:val="Compact"/>
        <w:numPr>
          <w:ilvl w:val="0"/>
          <w:numId w:val="1001"/>
        </w:numPr>
      </w:pPr>
      <w:r>
        <w:rPr>
          <w:b/>
          <w:bCs/>
        </w:rPr>
        <w:t xml:space="preserve">Ada risiko yang lebih baik dipegang badan usaha.</w:t>
      </w:r>
      <w:r>
        <w:t xml:space="preserve"> </w:t>
      </w:r>
      <w:r>
        <w:t xml:space="preserve">Konstruksi, teknologi, dan efisiensi operasi.</w:t>
      </w:r>
    </w:p>
    <w:p>
      <w:pPr>
        <w:pStyle w:val="Compact"/>
        <w:numPr>
          <w:ilvl w:val="0"/>
          <w:numId w:val="1001"/>
        </w:numPr>
      </w:pPr>
      <w:r>
        <w:rPr>
          <w:b/>
          <w:bCs/>
        </w:rPr>
        <w:t xml:space="preserve">Pendapatan dapat diprediksi.</w:t>
      </w:r>
      <w:r>
        <w:t xml:space="preserve"> </w:t>
      </w:r>
      <w:r>
        <w:t xml:space="preserve">Lewat tarif pengguna, atau komitmen fiskal PJPK membayar Availability Payment.</w:t>
      </w:r>
    </w:p>
    <w:p>
      <w:pPr>
        <w:pStyle w:val="Compact"/>
        <w:numPr>
          <w:ilvl w:val="0"/>
          <w:numId w:val="1001"/>
        </w:numPr>
      </w:pPr>
      <w:r>
        <w:rPr>
          <w:b/>
          <w:bCs/>
        </w:rPr>
        <w:t xml:space="preserve">Kapasitas kelembagaan PJPK stabil.</w:t>
      </w:r>
      <w:r>
        <w:t xml:space="preserve"> </w:t>
      </w:r>
      <w:r>
        <w:t xml:space="preserve">Proses multi-tahun tidak boleh bergantung pada satu masa jabatan.</w:t>
      </w:r>
    </w:p>
    <w:p>
      <w:pPr>
        <w:pStyle w:val="FirstParagraph"/>
      </w:pPr>
      <w:r>
        <w:t xml:space="preserve">Kriteria kelima paling menentukan struktur, karena memaksa PJPK memilih skema pengembalian investasi sejak awal. Availability Payment adalah pembayaran berkala pemerintah atas dasar ketersediaan layanan yang memenuhi kriteria kinerja, sehingga risiko permintaan tetap di PJPK.</w:t>
      </w:r>
      <w:r>
        <w:t xml:space="preserve"> </w:t>
      </w:r>
      <w:r>
        <w:rPr>
          <w:i/>
          <w:iCs/>
        </w:rPr>
        <w:t xml:space="preserve">User charge</w:t>
      </w:r>
      <w:r>
        <w:t xml:space="preserve"> </w:t>
      </w:r>
      <w:r>
        <w:t xml:space="preserve">menggantungkan pengembalian investasi pada pemakaian aktual layanan, sehingga risiko permintaan berpindah ke badan usaha (</w:t>
      </w:r>
      <w:hyperlink r:id="rId24">
        <w:r>
          <w:rPr>
            <w:rStyle w:val="Hyperlink"/>
          </w:rPr>
          <w:t xml:space="preserve">Simpul KPBU, Kementerian PU</w:t>
        </w:r>
      </w:hyperlink>
      <w:r>
        <w:t xml:space="preserve">, diakses 2026).</w:t>
      </w:r>
    </w:p>
    <w:bookmarkEnd w:id="25"/>
    <w:bookmarkStart w:id="27" w:name="kapan-kpbu-belum-tepat-untuk-proyek-anda"/>
    <w:p>
      <w:pPr>
        <w:pStyle w:val="Heading2"/>
      </w:pPr>
      <w:r>
        <w:t xml:space="preserve">Kapan KPBU BELUM tepat untuk proyek Anda</w:t>
      </w:r>
    </w:p>
    <w:p>
      <w:pPr>
        <w:pStyle w:val="FirstParagraph"/>
      </w:pPr>
      <w:r>
        <w:t xml:space="preserve">KPBU belum tepat ketika nilai proyek terlalu kecil untuk menyerap biaya transaksi, kebutuhannya mendesak dan berjangka pendek, lingkup teknisnya masih berubah, risiko politiknya terlalu tinggi untuk komitmen puluhan tahun, atau kapasitas kelembagaan PJPK belum siap. Pada kondisi itu, pengadaan konvensional adalah pilihan yang lebih jujur.</w:t>
      </w:r>
    </w:p>
    <w:p>
      <w:pPr>
        <w:pStyle w:val="Compact"/>
        <w:numPr>
          <w:ilvl w:val="0"/>
          <w:numId w:val="1002"/>
        </w:numPr>
      </w:pPr>
      <w:r>
        <w:rPr>
          <w:b/>
          <w:bCs/>
        </w:rPr>
        <w:t xml:space="preserve">Proyek kecil dengan biaya transaksi proporsional tinggi.</w:t>
      </w:r>
      <w:r>
        <w:t xml:space="preserve"> </w:t>
      </w:r>
      <w:r>
        <w:t xml:space="preserve">Lapisan biaya penyiapan dan transaksi tidak menyusut mengikuti nilai proyek, sehingga VfM berpotensi negatif.</w:t>
      </w:r>
    </w:p>
    <w:p>
      <w:pPr>
        <w:pStyle w:val="Compact"/>
        <w:numPr>
          <w:ilvl w:val="0"/>
          <w:numId w:val="1002"/>
        </w:numPr>
      </w:pPr>
      <w:r>
        <w:rPr>
          <w:b/>
          <w:bCs/>
        </w:rPr>
        <w:t xml:space="preserve">Kebutuhan yang mendesak.</w:t>
      </w:r>
      <w:r>
        <w:t xml:space="preserve"> </w:t>
      </w:r>
      <w:r>
        <w:t xml:space="preserve">Tahap transaksi saja pernah disorot memakan sekitar satu tahun hingga</w:t>
      </w:r>
      <w:r>
        <w:t xml:space="preserve"> </w:t>
      </w:r>
      <w:r>
        <w:rPr>
          <w:i/>
          <w:iCs/>
        </w:rPr>
        <w:t xml:space="preserve">financial close</w:t>
      </w:r>
      <w:r>
        <w:t xml:space="preserve"> </w:t>
      </w:r>
      <w:r>
        <w:t xml:space="preserve">(forum publik pemerintah, Maret 2023); itu praktik indikatif, bukan standar yang diatur.</w:t>
      </w:r>
    </w:p>
    <w:p>
      <w:pPr>
        <w:pStyle w:val="Compact"/>
        <w:numPr>
          <w:ilvl w:val="0"/>
          <w:numId w:val="1002"/>
        </w:numPr>
      </w:pPr>
      <w:r>
        <w:rPr>
          <w:b/>
          <w:bCs/>
        </w:rPr>
        <w:t xml:space="preserve">Lingkup teknis yang masih berubah.</w:t>
      </w:r>
      <w:r>
        <w:t xml:space="preserve"> </w:t>
      </w:r>
      <w:r>
        <w:t xml:space="preserve">Kontrak berbasis keluaran menuntut spesifikasi yang stabil sejak sebelum lelang.</w:t>
      </w:r>
    </w:p>
    <w:p>
      <w:pPr>
        <w:pStyle w:val="Compact"/>
        <w:numPr>
          <w:ilvl w:val="0"/>
          <w:numId w:val="1002"/>
        </w:numPr>
      </w:pPr>
      <w:r>
        <w:rPr>
          <w:b/>
          <w:bCs/>
        </w:rPr>
        <w:t xml:space="preserve">Risiko politik atau regulasi yang tidak stabil.</w:t>
      </w:r>
      <w:r>
        <w:t xml:space="preserve"> </w:t>
      </w:r>
      <w:r>
        <w:t xml:space="preserve">Komitmen puluhan tahun sulit berdiri di atas fondasi yang bergeser tiap periode.</w:t>
      </w:r>
    </w:p>
    <w:p>
      <w:pPr>
        <w:pStyle w:val="Compact"/>
        <w:numPr>
          <w:ilvl w:val="0"/>
          <w:numId w:val="1002"/>
        </w:numPr>
      </w:pPr>
      <w:r>
        <w:rPr>
          <w:b/>
          <w:bCs/>
        </w:rPr>
        <w:t xml:space="preserve">Kelayakan finansial marginal tanpa dukungan yang sesuai.</w:t>
      </w:r>
      <w:r>
        <w:t xml:space="preserve"> </w:t>
      </w:r>
      <w:r>
        <w:t xml:space="preserve">VGF mengisi celah antara layak ekonomi dan layak finansial, bukan menciptakan pendapatan pada sektor yang nyaris tanpa tarif.</w:t>
      </w:r>
    </w:p>
    <w:p>
      <w:pPr>
        <w:pStyle w:val="Compact"/>
        <w:numPr>
          <w:ilvl w:val="0"/>
          <w:numId w:val="1002"/>
        </w:numPr>
      </w:pPr>
      <w:r>
        <w:rPr>
          <w:b/>
          <w:bCs/>
        </w:rPr>
        <w:t xml:space="preserve">Kapasitas PJPK belum siap.</w:t>
      </w:r>
      <w:r>
        <w:t xml:space="preserve"> </w:t>
      </w:r>
      <w:r>
        <w:t xml:space="preserve">Proses multi-tahun dan negosiasi alokasi risiko menuntut tim yang bertahan.</w:t>
      </w:r>
    </w:p>
    <w:p>
      <w:pPr>
        <w:pStyle w:val="FirstParagraph"/>
      </w:pPr>
      <w:r>
        <w:t xml:space="preserve">Satu keyakinan perlu dibongkar: KPBU tidak menghapus kewajiban fiskal pemerintah. Ia mengubah bentuknya, dari belanja modal langsung menjadi kewajiban kontinjensi dan kewajiban pembayaran berkala jangka panjang yang tetap harus dipagari (</w:t>
      </w:r>
      <w:r>
        <w:rPr>
          <w:i/>
          <w:iCs/>
        </w:rPr>
        <w:t xml:space="preserve">ring-fenced</w:t>
      </w:r>
      <w:r>
        <w:t xml:space="preserve">) dan diungkap sebagai risiko fiskal.</w:t>
      </w:r>
    </w:p>
    <w:p>
      <w:pPr>
        <w:pStyle w:val="BodyText"/>
      </w:pPr>
      <w:r>
        <w:t xml:space="preserve">Untuk proyek daerah di zona abu-abu, jalan keluarnya bukan selalu memaksakan KPBU penuh. Peraturan Menteri PPN/Kepala Bappenas No. 7 Tahun 2023, berlaku sejak 29 Oktober 2023, menyediakan jalur KPBU skala kecil dengan proses penyiapan yang disederhanakan. Aturan yang sama juga memangkas jumlah kajian dalam prastudi kelayakan proyek KPBU dari delapan menjadi lima. Yang tidak disediakannya adalah ambang nilai investasi lintas sektor: batasan</w:t>
      </w:r>
      <w:r>
        <w:t xml:space="preserve"> </w:t>
      </w:r>
      <w:r>
        <w:t xml:space="preserve">“skala kecil”</w:t>
      </w:r>
      <w:r>
        <w:t xml:space="preserve"> </w:t>
      </w:r>
      <w:r>
        <w:t xml:space="preserve">berbeda mengikuti karakter tiap sektor. Opsi</w:t>
      </w:r>
      <w:r>
        <w:t xml:space="preserve"> </w:t>
      </w:r>
      <w:hyperlink r:id="rId26">
        <w:r>
          <w:rPr>
            <w:rStyle w:val="Hyperlink"/>
          </w:rPr>
          <w:t xml:space="preserve">pembiayaan kreatif</w:t>
        </w:r>
      </w:hyperlink>
      <w:r>
        <w:t xml:space="preserve"> </w:t>
      </w:r>
      <w:r>
        <w:t xml:space="preserve">di luar APBD murni layak ditimbang sebelum menyimpulkan hanya ada dua pilihan.</w:t>
      </w:r>
    </w:p>
    <w:p>
      <w:pPr>
        <w:pStyle w:val="BodyText"/>
      </w:pPr>
      <w:r>
        <w:t xml:space="preserve">Sebagai penjamin, PT PII mengevaluasi dan menstrukturkan risiko sisi pemerintah sejak tahap penyiapan, dan dari posisi itu pola proyek yang tersandung di titik ini terlihat berulang. Uji Value for Money sendiri bukan kewenangan penjamin: keputusannya ada pada PJPK bersama Kementerian Keuangan dan Kementerian PPN/Bappenas.</w:t>
      </w:r>
    </w:p>
    <w:bookmarkEnd w:id="27"/>
    <w:bookmarkStart w:id="34" w:name="faq-pertanyaan-yang-sering-diajukan"/>
    <w:p>
      <w:pPr>
        <w:pStyle w:val="Heading2"/>
      </w:pPr>
      <w:r>
        <w:t xml:space="preserve">FAQ (Pertanyaan yang Sering Diajukan)</w:t>
      </w:r>
    </w:p>
    <w:bookmarkStart w:id="28" w:name="X9f135d0162461563cbb1d55a08b500fc69f863e"/>
    <w:p>
      <w:pPr>
        <w:pStyle w:val="Heading3"/>
      </w:pPr>
      <w:r>
        <w:t xml:space="preserve">Apa bedanya KPBU dengan pengadaan konvensional APBN?</w:t>
      </w:r>
    </w:p>
    <w:p>
      <w:pPr>
        <w:pStyle w:val="FirstParagraph"/>
      </w:pPr>
      <w:r>
        <w:t xml:space="preserve">KPBU memakai sebagian atau seluruh pendanaan dari badan usaha dan membagi risiko lewat kontrak jangka panjang, sedangkan pengadaan konvensional dibiayai penuh APBN/APBD dengan risiko tetap di pemerintah. Pada KPBU pembayaran jatuh setelah layanan tersedia atau lewat tarif pengguna; pada pengadaan konvensional, kontraktor dibayar per termin progres (Peraturan Presiden No. 38 Tahun 2015).</w:t>
      </w:r>
    </w:p>
    <w:bookmarkEnd w:id="28"/>
    <w:bookmarkStart w:id="29" w:name="apa-itu-value-for-money-dalam-kpbu"/>
    <w:p>
      <w:pPr>
        <w:pStyle w:val="Heading3"/>
      </w:pPr>
      <w:r>
        <w:t xml:space="preserve">Apa itu Value for Money dalam KPBU?</w:t>
      </w:r>
    </w:p>
    <w:p>
      <w:pPr>
        <w:pStyle w:val="FirstParagraph"/>
      </w:pPr>
      <w:r>
        <w:t xml:space="preserve">Value for Money adalah uji apakah manfaat skema KPBU sepadan dengan seluruh biaya yang menyertainya, dinilai lewat analisis kualitatif dan kuantitatif di beberapa tahap proyek. Panduan resmi Kementerian Keuangan yang berlaku per 2026 tidak menetapkan ambang persentase baku secara nasional, sehingga hasilnya bergantung pada kualitas kajian PJPK.</w:t>
      </w:r>
    </w:p>
    <w:bookmarkEnd w:id="29"/>
    <w:bookmarkStart w:id="30" w:name="apa-itu-availability-payment"/>
    <w:p>
      <w:pPr>
        <w:pStyle w:val="Heading3"/>
      </w:pPr>
      <w:r>
        <w:t xml:space="preserve">Apa itu Availability Payment?</w:t>
      </w:r>
    </w:p>
    <w:p>
      <w:pPr>
        <w:pStyle w:val="FirstParagraph"/>
      </w:pPr>
      <w:r>
        <w:t xml:space="preserve">Availability Payment adalah pembayaran berkala pemerintah kepada badan usaha atas dasar ketersediaan layanan yang memenuhi kriteria kualitas dan kinerja dalam kontrak. Berbeda dari tarif pengguna, skema ini menempatkan risiko permintaan di sisi PJPK, sehingga cocok untuk layanan publik yang sulit dipungut tarifnya langsung (Simpul KPBU, 2026).</w:t>
      </w:r>
    </w:p>
    <w:bookmarkEnd w:id="30"/>
    <w:bookmarkStart w:id="31" w:name="X86b18aae9f4e985a8942e7afbdb0bf7e32c1545"/>
    <w:p>
      <w:pPr>
        <w:pStyle w:val="Heading3"/>
      </w:pPr>
      <w:r>
        <w:t xml:space="preserve">Siapa yang membiayai proyek pada skema KPBU?</w:t>
      </w:r>
    </w:p>
    <w:p>
      <w:pPr>
        <w:pStyle w:val="FirstParagraph"/>
      </w:pPr>
      <w:r>
        <w:t xml:space="preserve">Pembiayaan awal umumnya berasal dari badan usaha pelaksana yang memenangkan lelang atau mengajukan prakarsa, bukan dari APBN/APBD. Untuk proyek yang layak ekonomi tetapi belum layak finansial, pemerintah dapat menambahkan Dukungan Kelayakan atas sebagian biaya konstruksi, atau Fasilitas Penyiapan Proyek untuk membantu PJPK menyusun kajian dan dokumen transaksi.</w:t>
      </w:r>
    </w:p>
    <w:bookmarkEnd w:id="31"/>
    <w:bookmarkStart w:id="32" w:name="apa-itu-kpbu-skala-kecil"/>
    <w:p>
      <w:pPr>
        <w:pStyle w:val="Heading3"/>
      </w:pPr>
      <w:r>
        <w:t xml:space="preserve">Apa itu KPBU skala kecil?</w:t>
      </w:r>
    </w:p>
    <w:p>
      <w:pPr>
        <w:pStyle w:val="FirstParagraph"/>
      </w:pPr>
      <w:r>
        <w:t xml:space="preserve">KPBU skala kecil adalah kategori proyek dengan proses penyiapan yang disederhanakan menurut Peraturan Menteri PPN/Kepala Bappenas No. 7 Tahun 2023. Regulasi itu tidak menetapkan satu ambang nilai investasi lintas sektor; batasan proyek yang dianggap skala kecil berbeda mengikuti karakter tiap sektor. Penyederhanaan proses bukan jaminan kelayakan otomatis.</w:t>
      </w:r>
    </w:p>
    <w:bookmarkEnd w:id="32"/>
    <w:bookmarkStart w:id="33" w:name="Xf56a3d1aeae41ba5a24a033944abb921114cb38"/>
    <w:p>
      <w:pPr>
        <w:pStyle w:val="Heading3"/>
      </w:pPr>
      <w:r>
        <w:t xml:space="preserve">Apakah semua proyek infrastruktur bisa memakai skema KPBU?</w:t>
      </w:r>
    </w:p>
    <w:p>
      <w:pPr>
        <w:pStyle w:val="FirstParagraph"/>
      </w:pPr>
      <w:r>
        <w:t xml:space="preserve">Tidak. Proyek yang terlalu kecil untuk menyerap biaya penyiapan dan transaksi, mendesak dan berjangka pendek, lingkup teknisnya masih berubah, atau kapasitas kelembagaan PJPK-nya belum siap, umumnya menghasilkan Value for Money negatif bila dipaksakan lewat KPBU. Pengadaan konvensional APBN/APBD tetap pilihan yang sah.</w:t>
      </w:r>
    </w:p>
    <w:bookmarkEnd w:id="33"/>
    <w:bookmarkEnd w:id="34"/>
    <w:bookmarkStart w:id="35" w:name="kesimpulan"/>
    <w:p>
      <w:pPr>
        <w:pStyle w:val="Heading2"/>
      </w:pPr>
      <w:r>
        <w:t xml:space="preserve">Kesimpulan</w:t>
      </w:r>
    </w:p>
    <w:p>
      <w:pPr>
        <w:pStyle w:val="FirstParagraph"/>
      </w:pPr>
      <w:r>
        <w:t xml:space="preserve">Keputusan antara KPBU dan APBN pada akhirnya soal biaya total sepanjang siklus kerja sama, bukan soal siapa yang menyediakan uang pada tahun anggaran berjalan. Proyek yang lolos uji Value for Money biasanya masih menyisakan satu pekerjaan rumah: meyakinkan</w:t>
      </w:r>
      <w:r>
        <w:t xml:space="preserve"> </w:t>
      </w:r>
      <w:r>
        <w:rPr>
          <w:i/>
          <w:iCs/>
        </w:rPr>
        <w:t xml:space="preserve">lender</w:t>
      </w:r>
      <w:r>
        <w:t xml:space="preserve"> </w:t>
      </w:r>
      <w:r>
        <w:t xml:space="preserve">bahwa risiko yang menjadi tanggung jawab pemerintah dalam kontrak benar-benar tertutup, karena di situlah</w:t>
      </w:r>
      <w:r>
        <w:t xml:space="preserve"> </w:t>
      </w:r>
      <w:r>
        <w:rPr>
          <w:i/>
          <w:iCs/>
        </w:rPr>
        <w:t xml:space="preserve">bankability</w:t>
      </w:r>
      <w:r>
        <w:t xml:space="preserve"> </w:t>
      </w:r>
      <w:r>
        <w:t xml:space="preserve">(kelayakan proyek di mata pemberi pinjaman) terbentuk. Di lapisan itulah PT PII bekerja selaku Badan Usaha Penjaminan Infrastruktur di bawah Kementerian Keuangan, dengan menerbitkan penjaminan atas risiko yang menjadi tanggung jawab pemerintah dalam kontrak. Diskusi paling produktif biasanya dimulai sebelum dokumen lelang dikunci.</w:t>
      </w:r>
    </w:p>
    <w:p>
      <w:pPr>
        <w:pStyle w:val="BodyText"/>
      </w:pPr>
      <w:r>
        <w:t xml:space="preserve">Skema penjaminan pemerintah untuk proyek KPBU diuraikan lebih rinci di ptpii.co.id, bila Anda ingin menelusurinya lebih jauh.</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jdih.kemenkeu.go.id/dok/pmk-68-tahun-2024" TargetMode="External" /><Relationship Type="http://schemas.openxmlformats.org/officeDocument/2006/relationships/hyperlink" Id="rId20" Target="https://kpbu.kemenkeu.go.id/read/1092-1254/pjpk/guideline-dan-toolkit/panduan-value-for-money" TargetMode="External" /><Relationship Type="http://schemas.openxmlformats.org/officeDocument/2006/relationships/hyperlink" Id="rId24" Target="https://simpulkpbu.pu.go.id/pages/panduan-investasi/skema-pengembalian"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1" Target="https://jdih.kemenkeu.go.id/dok/pmk-68-tahun-2024" TargetMode="External" /><Relationship Type="http://schemas.openxmlformats.org/officeDocument/2006/relationships/hyperlink" Id="rId20" Target="https://kpbu.kemenkeu.go.id/read/1092-1254/pjpk/guideline-dan-toolkit/panduan-value-for-money" TargetMode="External" /><Relationship Type="http://schemas.openxmlformats.org/officeDocument/2006/relationships/hyperlink" Id="rId24" Target="https://simpulkpbu.pu.go.id/pages/panduan-investasi/skema-pengembalian"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2026-08-12T09:08:31Z</dcterms:created>
  <dcterms:modified xsi:type="dcterms:W3CDTF">2026-08-12T09:08:31Z</dcterms:modified>
</cp:coreProperties>
</file>

<file path=docProps/custom.xml><?xml version="1.0" encoding="utf-8"?>
<Properties xmlns="http://schemas.openxmlformats.org/officeDocument/2006/custom-properties" xmlns:vt="http://schemas.openxmlformats.org/officeDocument/2006/docPropsVTypes"/>
</file>