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"KPBU dan Pembagian Risiko: Siapa Menanggung Apa dalam Kontrak"</w:t>
      </w:r>
      <w:r>
        <w:br/>
      </w:r>
      <w:r>
        <w:rPr>
          <w:rStyle w:val="FunctionTok"/>
        </w:rPr>
        <w:t xml:space="preserve">meta_title</w:t>
      </w:r>
      <w:r>
        <w:rPr>
          <w:rStyle w:val="KeywordTok"/>
        </w:rPr>
        <w:t xml:space="preserve">:</w:t>
      </w:r>
      <w:r>
        <w:rPr>
          <w:rStyle w:val="AttributeTok"/>
        </w:rPr>
        <w:t xml:space="preserve"> </w:t>
      </w:r>
      <w:r>
        <w:rPr>
          <w:rStyle w:val="StringTok"/>
        </w:rPr>
        <w:t xml:space="preserve">"KPBU: Siapa Menanggung Risiko Apa dalam Kontrak"</w:t>
      </w:r>
      <w:r>
        <w:br/>
      </w:r>
      <w:r>
        <w:rPr>
          <w:rStyle w:val="FunctionTok"/>
        </w:rPr>
        <w:t xml:space="preserve">meta_description</w:t>
      </w:r>
      <w:r>
        <w:rPr>
          <w:rStyle w:val="KeywordTok"/>
        </w:rPr>
        <w:t xml:space="preserve">:</w:t>
      </w:r>
      <w:r>
        <w:rPr>
          <w:rStyle w:val="AttributeTok"/>
        </w:rPr>
        <w:t xml:space="preserve"> </w:t>
      </w:r>
      <w:r>
        <w:rPr>
          <w:rStyle w:val="StringTok"/>
        </w:rPr>
        <w:t xml:space="preserve">"Alokasi risiko KPBU menentukan nasib proyek. Simak matriks siapa menanggung apa, 11 kategori risiko resmi, dan tiga salah kaprah yang paling mahal."</w:t>
      </w:r>
      <w:r>
        <w:br/>
      </w:r>
      <w:r>
        <w:rPr>
          <w:rStyle w:val="FunctionTok"/>
        </w:rPr>
        <w:t xml:space="preserve">slug</w:t>
      </w:r>
      <w:r>
        <w:rPr>
          <w:rStyle w:val="KeywordTok"/>
        </w:rPr>
        <w:t xml:space="preserve">:</w:t>
      </w:r>
      <w:r>
        <w:rPr>
          <w:rStyle w:val="AttributeTok"/>
        </w:rPr>
        <w:t xml:space="preserve"> </w:t>
      </w:r>
      <w:r>
        <w:rPr>
          <w:rStyle w:val="StringTok"/>
        </w:rPr>
        <w:t xml:space="preserve">"kpbu-pembagian-risiko-siapa-menanggung-apa"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"KPBU"</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"alokasi risiko KPBU"</w:t>
      </w:r>
      <w:r>
        <w:br/>
      </w:r>
      <w:r>
        <w:rPr>
          <w:rStyle w:val="AttributeTok"/>
        </w:rPr>
        <w:t xml:space="preserve">  </w:t>
      </w:r>
      <w:r>
        <w:rPr>
          <w:rStyle w:val="KeywordTok"/>
        </w:rPr>
        <w:t xml:space="preserve">-</w:t>
      </w:r>
      <w:r>
        <w:rPr>
          <w:rStyle w:val="AttributeTok"/>
        </w:rPr>
        <w:t xml:space="preserve"> </w:t>
      </w:r>
      <w:r>
        <w:rPr>
          <w:rStyle w:val="StringTok"/>
        </w:rPr>
        <w:t xml:space="preserve">"pembagian risiko proyek infrastruktur"</w:t>
      </w:r>
      <w:r>
        <w:br/>
      </w:r>
      <w:r>
        <w:rPr>
          <w:rStyle w:val="AttributeTok"/>
        </w:rPr>
        <w:t xml:space="preserve">  </w:t>
      </w:r>
      <w:r>
        <w:rPr>
          <w:rStyle w:val="KeywordTok"/>
        </w:rPr>
        <w:t xml:space="preserve">-</w:t>
      </w:r>
      <w:r>
        <w:rPr>
          <w:rStyle w:val="AttributeTok"/>
        </w:rPr>
        <w:t xml:space="preserve"> </w:t>
      </w:r>
      <w:r>
        <w:rPr>
          <w:rStyle w:val="StringTok"/>
        </w:rPr>
        <w:t xml:space="preserve">"kategori risiko KPBU"</w:t>
      </w:r>
      <w:r>
        <w:br/>
      </w:r>
      <w:r>
        <w:rPr>
          <w:rStyle w:val="AttributeTok"/>
        </w:rPr>
        <w:t xml:space="preserve">  </w:t>
      </w:r>
      <w:r>
        <w:rPr>
          <w:rStyle w:val="KeywordTok"/>
        </w:rPr>
        <w:t xml:space="preserve">-</w:t>
      </w:r>
      <w:r>
        <w:rPr>
          <w:rStyle w:val="AttributeTok"/>
        </w:rPr>
        <w:t xml:space="preserve"> </w:t>
      </w:r>
      <w:r>
        <w:rPr>
          <w:rStyle w:val="StringTok"/>
        </w:rPr>
        <w:t xml:space="preserve">"risiko lahan"</w:t>
      </w:r>
      <w:r>
        <w:br/>
      </w:r>
      <w:r>
        <w:rPr>
          <w:rStyle w:val="AttributeTok"/>
        </w:rPr>
        <w:t xml:space="preserve">  </w:t>
      </w:r>
      <w:r>
        <w:rPr>
          <w:rStyle w:val="KeywordTok"/>
        </w:rPr>
        <w:t xml:space="preserve">-</w:t>
      </w:r>
      <w:r>
        <w:rPr>
          <w:rStyle w:val="AttributeTok"/>
        </w:rPr>
        <w:t xml:space="preserve"> </w:t>
      </w:r>
      <w:r>
        <w:rPr>
          <w:rStyle w:val="StringTok"/>
        </w:rPr>
        <w:t xml:space="preserve">"risiko konstruksi"</w:t>
      </w:r>
      <w:r>
        <w:br/>
      </w:r>
      <w:r>
        <w:rPr>
          <w:rStyle w:val="AttributeTok"/>
        </w:rPr>
        <w:t xml:space="preserve">  </w:t>
      </w:r>
      <w:r>
        <w:rPr>
          <w:rStyle w:val="KeywordTok"/>
        </w:rPr>
        <w:t xml:space="preserve">-</w:t>
      </w:r>
      <w:r>
        <w:rPr>
          <w:rStyle w:val="AttributeTok"/>
        </w:rPr>
        <w:t xml:space="preserve"> </w:t>
      </w:r>
      <w:r>
        <w:rPr>
          <w:rStyle w:val="StringTok"/>
        </w:rPr>
        <w:t xml:space="preserve">"risiko permintaan"</w:t>
      </w:r>
      <w:r>
        <w:br/>
      </w:r>
      <w:r>
        <w:rPr>
          <w:rStyle w:val="AttributeTok"/>
        </w:rPr>
        <w:t xml:space="preserve">  </w:t>
      </w:r>
      <w:r>
        <w:rPr>
          <w:rStyle w:val="KeywordTok"/>
        </w:rPr>
        <w:t xml:space="preserve">-</w:t>
      </w:r>
      <w:r>
        <w:rPr>
          <w:rStyle w:val="AttributeTok"/>
        </w:rPr>
        <w:t xml:space="preserve"> </w:t>
      </w:r>
      <w:r>
        <w:rPr>
          <w:rStyle w:val="StringTok"/>
        </w:rPr>
        <w:t xml:space="preserve">"risiko politik"</w:t>
      </w:r>
      <w:r>
        <w:br/>
      </w:r>
      <w:r>
        <w:rPr>
          <w:rStyle w:val="AttributeTok"/>
        </w:rPr>
        <w:t xml:space="preserve">  </w:t>
      </w:r>
      <w:r>
        <w:rPr>
          <w:rStyle w:val="KeywordTok"/>
        </w:rPr>
        <w:t xml:space="preserve">-</w:t>
      </w:r>
      <w:r>
        <w:rPr>
          <w:rStyle w:val="AttributeTok"/>
        </w:rPr>
        <w:t xml:space="preserve"> </w:t>
      </w:r>
      <w:r>
        <w:rPr>
          <w:rStyle w:val="StringTok"/>
        </w:rPr>
        <w:t xml:space="preserve">"force majeure"</w:t>
      </w:r>
      <w:r>
        <w:br/>
      </w:r>
      <w:r>
        <w:rPr>
          <w:rStyle w:val="AttributeTok"/>
        </w:rPr>
        <w:t xml:space="preserve">  </w:t>
      </w:r>
      <w:r>
        <w:rPr>
          <w:rStyle w:val="KeywordTok"/>
        </w:rPr>
        <w:t xml:space="preserve">-</w:t>
      </w:r>
      <w:r>
        <w:rPr>
          <w:rStyle w:val="AttributeTok"/>
        </w:rPr>
        <w:t xml:space="preserve"> </w:t>
      </w:r>
      <w:r>
        <w:rPr>
          <w:rStyle w:val="StringTok"/>
        </w:rPr>
        <w:t xml:space="preserve">"Acuan Alokasi Risiko"</w:t>
      </w:r>
      <w:r>
        <w:br/>
      </w:r>
      <w:r>
        <w:rPr>
          <w:rStyle w:val="AttributeTok"/>
        </w:rPr>
        <w:t xml:space="preserve">  </w:t>
      </w:r>
      <w:r>
        <w:rPr>
          <w:rStyle w:val="KeywordTok"/>
        </w:rPr>
        <w:t xml:space="preserve">-</w:t>
      </w:r>
      <w:r>
        <w:rPr>
          <w:rStyle w:val="AttributeTok"/>
        </w:rPr>
        <w:t xml:space="preserve"> </w:t>
      </w:r>
      <w:r>
        <w:rPr>
          <w:rStyle w:val="StringTok"/>
        </w:rPr>
        <w:t xml:space="preserve">"matriks risiko kontrak KPBU"</w:t>
      </w:r>
      <w:r>
        <w:br/>
      </w:r>
      <w:r>
        <w:rPr>
          <w:rStyle w:val="AttributeTok"/>
        </w:rPr>
        <w:t xml:space="preserve">  </w:t>
      </w:r>
      <w:r>
        <w:rPr>
          <w:rStyle w:val="KeywordTok"/>
        </w:rPr>
        <w:t xml:space="preserve">-</w:t>
      </w:r>
      <w:r>
        <w:rPr>
          <w:rStyle w:val="AttributeTok"/>
        </w:rPr>
        <w:t xml:space="preserve"> </w:t>
      </w:r>
      <w:r>
        <w:rPr>
          <w:rStyle w:val="StringTok"/>
        </w:rPr>
        <w:t xml:space="preserve">"PJPK"</w:t>
      </w:r>
      <w:r>
        <w:br/>
      </w:r>
      <w:r>
        <w:rPr>
          <w:rStyle w:val="AttributeTok"/>
        </w:rPr>
        <w:t xml:space="preserve">  </w:t>
      </w:r>
      <w:r>
        <w:rPr>
          <w:rStyle w:val="KeywordTok"/>
        </w:rPr>
        <w:t xml:space="preserve">-</w:t>
      </w:r>
      <w:r>
        <w:rPr>
          <w:rStyle w:val="AttributeTok"/>
        </w:rPr>
        <w:t xml:space="preserve"> </w:t>
      </w:r>
      <w:r>
        <w:rPr>
          <w:rStyle w:val="StringTok"/>
        </w:rPr>
        <w:t xml:space="preserve">"badan usaha pelaksana"</w:t>
      </w:r>
      <w:r>
        <w:br/>
      </w:r>
      <w:r>
        <w:rPr>
          <w:rStyle w:val="AttributeTok"/>
        </w:rPr>
        <w:t xml:space="preserve">  </w:t>
      </w:r>
      <w:r>
        <w:rPr>
          <w:rStyle w:val="KeywordTok"/>
        </w:rPr>
        <w:t xml:space="preserve">-</w:t>
      </w:r>
      <w:r>
        <w:rPr>
          <w:rStyle w:val="AttributeTok"/>
        </w:rPr>
        <w:t xml:space="preserve"> </w:t>
      </w:r>
      <w:r>
        <w:rPr>
          <w:rStyle w:val="StringTok"/>
        </w:rPr>
        <w:t xml:space="preserve">"bankability"</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"proyek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"public private partnership"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"pembiayaan kreatif"</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"https://simpulkpbu.pu.go.id/pages/risiko/kategori-risiko"</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"Taksonomi 11 kategori risiko KPBU, Ditjen Pembiayaan Infrastruktur Kementerian Pekerjaan Umum"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"https://kpbu.kemenkeu.go.id/read/23-228/umum/tentang-kpbu/kpbu-bukan-privatisasi-swastanisasi"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"KPBU dibedakan dari privatisasi lewat alokasi risiko dan kepemilikan aset; prinsip alokasi risiko optimal"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"https://ppp.worldbank.org/public-private-partnership/translating-risk-allocation-contract-structure"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"Prinsip alokasi risiko PPP internasional dan syarat kewenangan mengambil keputusan"</w:t>
      </w:r>
      <w:r>
        <w:br/>
      </w:r>
      <w:r>
        <w:rPr>
          <w:rStyle w:val="FunctionTok"/>
        </w:rPr>
        <w:t xml:space="preserve">brief_id</w:t>
      </w:r>
      <w:r>
        <w:rPr>
          <w:rStyle w:val="KeywordTok"/>
        </w:rPr>
        <w:t xml:space="preserve">:</w:t>
      </w:r>
      <w:r>
        <w:rPr>
          <w:rStyle w:val="AttributeTok"/>
        </w:rPr>
        <w:t xml:space="preserve"> </w:t>
      </w:r>
      <w:r>
        <w:rPr>
          <w:rStyle w:val="StringTok"/>
        </w:rPr>
        <w:t xml:space="preserve">"kpbu-03"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1724</w:t>
      </w:r>
    </w:p>
    <w:p>
      <w:r>
        <w:pict>
          <v:rect style="width:0;height:1.5pt" o:hralign="center" o:hrstd="t" o:hr="t"/>
        </w:pict>
      </w:r>
    </w:p>
    <w:bookmarkEnd w:id="16"/>
    <w:bookmarkStart w:id="35" w:name="X6bb0a9ecb5896cbbc266170f72a8166fc9dcc05"/>
    <w:p>
      <w:pPr>
        <w:pStyle w:val="Heading1"/>
      </w:pPr>
      <w:r>
        <w:t xml:space="preserve">KPBU dan Pembagian Risiko: Siapa Menanggung Apa dalam Kontrak</w:t>
      </w:r>
    </w:p>
    <w:p>
      <w:pPr>
        <w:pStyle w:val="FirstParagraph"/>
      </w:pPr>
      <w:r>
        <w:t xml:space="preserve">Negosiasi kontrak KPBU sering tersandung pada satu pertanyaan sederhana: kalau lahan belum bebas dua tahun setelah tanda tangan, siapa yang menanggung biayanya? Pihak pemerintah kerap berasumsi bahwa menggandeng badan usaha berarti risiko sudah berpindah. Sponsor proyek berasumsi sebaliknya, bahwa apa pun yang berbau kebijakan publik akan ditanggung pemerintah. Keduanya keliru, dan tagihannya baru muncul di tahap pembiayaan. Artikel ini memetakan alokasi risiko dalam</w:t>
      </w:r>
      <w:r>
        <w:t xml:space="preserve"> </w:t>
      </w:r>
      <w:hyperlink r:id="rId17">
        <w:r>
          <w:rPr>
            <w:rStyle w:val="Hyperlink"/>
          </w:rPr>
          <w:t xml:space="preserve">proyek KPBU</w:t>
        </w:r>
      </w:hyperlink>
      <w:r>
        <w:t xml:space="preserve">: kategori apa saja yang dikenal, siapa yang lazimnya memikul masing-masing, dan tiga salah kaprah yang paling mahal.</w:t>
      </w:r>
    </w:p>
    <w:p>
      <w:pPr>
        <w:pStyle w:val="BlockText"/>
      </w:pPr>
      <w:r>
        <w:rPr>
          <w:b/>
          <w:bCs/>
        </w:rPr>
        <w:t xml:space="preserve">Ringkasnya:</w:t>
      </w:r>
      <w:r>
        <w:t xml:space="preserve"> </w:t>
      </w:r>
      <w:r>
        <w:t xml:space="preserve">Alokasi risiko dalam KPBU (</w:t>
      </w:r>
      <w:r>
        <w:rPr>
          <w:i/>
          <w:iCs/>
        </w:rPr>
        <w:t xml:space="preserve">Kerja Sama Pemerintah dengan Badan Usaha</w:t>
      </w:r>
      <w:r>
        <w:t xml:space="preserve">) adalah pembagian tanggung jawab atas kejadian yang dapat memengaruhi biaya, waktu, atau pendapatan proyek antara Penanggung Jawab Proyek Kerja Sama (PJPK) dan badan usaha pelaksana. Prinsipnya satu: setiap risiko dialokasikan kepada pihak yang paling mampu mengelola atau menanggungnya.</w:t>
      </w:r>
    </w:p>
    <w:bookmarkStart w:id="20" w:name="Xf5c9890831668384b8d577fc3124cc66a30d661"/>
    <w:p>
      <w:pPr>
        <w:pStyle w:val="Heading2"/>
      </w:pPr>
      <w:r>
        <w:t xml:space="preserve">Apa itu alokasi risiko dalam KPBU dan mengapa menentukan nasib proyek?</w:t>
      </w:r>
    </w:p>
    <w:p>
      <w:pPr>
        <w:pStyle w:val="FirstParagraph"/>
      </w:pPr>
      <w:r>
        <w:t xml:space="preserve">Alokasi risiko adalah inti komersial sebuah kontrak KPBU, bukan lampirannya. Kementerian Keuangan merumuskan prinsipnya secara konsisten: risiko dialokasikan kepada pihak yang paling mampu mengelola atau menanggungnya. Karena itu perubahan peraturan tetap berada di sisi pemerintah, sementara risiko keuangan proyek dibebankan ke badan usaha yang memiliki instrumen mitigasi.</w:t>
      </w:r>
    </w:p>
    <w:p>
      <w:pPr>
        <w:pStyle w:val="BodyText"/>
      </w:pPr>
      <w:r>
        <w:t xml:space="preserve">Prinsip yang sama berlaku di luar Indonesia. Dalam doktrin</w:t>
      </w:r>
      <w:r>
        <w:t xml:space="preserve"> </w:t>
      </w:r>
      <w:hyperlink r:id="rId18">
        <w:r>
          <w:rPr>
            <w:rStyle w:val="Hyperlink"/>
          </w:rPr>
          <w:t xml:space="preserve">public private partnership</w:t>
        </w:r>
      </w:hyperlink>
      <w:r>
        <w:t xml:space="preserve"> </w:t>
      </w:r>
      <w:r>
        <w:t xml:space="preserve">internasional, World Bank PPP Knowledge Lab menambahkan syarat yang sering terlewat: risiko layak dialihkan hanya bila pihak penerimanya juga diberi kewenangan atas faktor pemicunya.</w:t>
      </w:r>
      <w:r>
        <w:t xml:space="preserve"> </w:t>
      </w:r>
      <w:r>
        <w:t xml:space="preserve">“Paling mampu”</w:t>
      </w:r>
      <w:r>
        <w:t xml:space="preserve"> </w:t>
      </w:r>
      <w:r>
        <w:t xml:space="preserve">pun tidak otomatis berarti swasta.</w:t>
      </w:r>
    </w:p>
    <w:p>
      <w:pPr>
        <w:pStyle w:val="BodyText"/>
      </w:pPr>
      <w:r>
        <w:t xml:space="preserve">Ini juga yang memisahkan KPBU dari privatisasi.</w:t>
      </w:r>
      <w:r>
        <w:t xml:space="preserve"> </w:t>
      </w:r>
      <w:hyperlink r:id="rId19">
        <w:r>
          <w:rPr>
            <w:rStyle w:val="Hyperlink"/>
          </w:rPr>
          <w:t xml:space="preserve">Portal KPBU Kementerian Keuangan</w:t>
        </w:r>
      </w:hyperlink>
      <w:r>
        <w:t xml:space="preserve"> </w:t>
      </w:r>
      <w:r>
        <w:t xml:space="preserve">menyebut dua pembedanya: risiko dibagi dan tidak dipindahkan seluruhnya, serta kepemilikan aset tetap di tangan pemerintah sampai masa kerja sama berakhir. Payung hukumnya, Perpres No. 38 Tahun 2015, masih berstatus berlaku per pemeriksaan Agustus 2026.</w:t>
      </w:r>
    </w:p>
    <w:p>
      <w:pPr>
        <w:pStyle w:val="BodyText"/>
      </w:pPr>
      <w:r>
        <w:t xml:space="preserve">Salah membaca dua hal itu sejak awal biasanya baru ketahuan di meja</w:t>
      </w:r>
      <w:r>
        <w:t xml:space="preserve"> </w:t>
      </w:r>
      <w:r>
        <w:rPr>
          <w:i/>
          <w:iCs/>
        </w:rPr>
        <w:t xml:space="preserve">lender</w:t>
      </w:r>
      <w:r>
        <w:t xml:space="preserve">.</w:t>
      </w:r>
    </w:p>
    <w:bookmarkEnd w:id="20"/>
    <w:bookmarkStart w:id="21" w:name="Xf7fcc9be46225e4b759414db6685eb5ba7f2076"/>
    <w:p>
      <w:pPr>
        <w:pStyle w:val="Heading2"/>
      </w:pPr>
      <w:r>
        <w:t xml:space="preserve">Siapa menanggung risiko apa dalam kontrak KPBU</w:t>
      </w:r>
    </w:p>
    <w:p>
      <w:pPr>
        <w:pStyle w:val="FirstParagraph"/>
      </w:pPr>
      <w:r>
        <w:t xml:space="preserve">Secara umum, pemerintah selaku PJPK memikul risiko yang bersumber dari kewenangannya sendiri: lokasi dan lahan, perubahan peraturan yang diskriminatif, serta perizinan. Badan usaha memikul risiko yang dapat dikendalikan lewat kompetensi teknis dan finansial, yaitu desain, konstruksi, operasi, dan pendanaan. Risiko permintaan mengikuti skema pengembalian investasi yang dipilih.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Jenis risiko (kategori resmi)</w:t>
            </w:r>
          </w:p>
        </w:tc>
        <w:tc>
          <w:tcPr/>
          <w:p>
            <w:pPr>
              <w:pStyle w:val="Compact"/>
            </w:pPr>
            <w:r>
              <w:t xml:space="preserve">Lazimnya ditanggung</w:t>
            </w:r>
          </w:p>
        </w:tc>
        <w:tc>
          <w:tcPr/>
          <w:p>
            <w:pPr>
              <w:pStyle w:val="Compact"/>
            </w:pPr>
            <w:r>
              <w:t xml:space="preserve">Mengapa</w:t>
            </w:r>
          </w:p>
        </w:tc>
      </w:tr>
      <w:tr>
        <w:tc>
          <w:tcPr/>
          <w:p>
            <w:pPr>
              <w:pStyle w:val="Compact"/>
            </w:pPr>
            <w:r>
              <w:t xml:space="preserve">Lokasi dan pembebasan lahan (Risiko Lokasi)</w:t>
            </w:r>
          </w:p>
        </w:tc>
        <w:tc>
          <w:tcPr/>
          <w:p>
            <w:pPr>
              <w:pStyle w:val="Compact"/>
            </w:pPr>
            <w:r>
              <w:t xml:space="preserve">Pemerintah/PJPK</w:t>
            </w:r>
          </w:p>
        </w:tc>
        <w:tc>
          <w:tcPr/>
          <w:p>
            <w:pPr>
              <w:pStyle w:val="Compact"/>
            </w:pPr>
            <w:r>
              <w:t xml:space="preserve">Pengadaan tanah melekat pada kewenangan negara</w:t>
            </w:r>
          </w:p>
        </w:tc>
      </w:tr>
      <w:tr>
        <w:tc>
          <w:tcPr/>
          <w:p>
            <w:pPr>
              <w:pStyle w:val="Compact"/>
            </w:pPr>
            <w:r>
              <w:t xml:space="preserve">Desain, konstruksi, dan uji operasi (Risiko Desain, Konstruksi dan Uji Operasi)</w:t>
            </w:r>
          </w:p>
        </w:tc>
        <w:tc>
          <w:tcPr/>
          <w:p>
            <w:pPr>
              <w:pStyle w:val="Compact"/>
            </w:pPr>
            <w:r>
              <w:t xml:space="preserve">Badan usaha</w:t>
            </w:r>
          </w:p>
        </w:tc>
        <w:tc>
          <w:tcPr/>
          <w:p>
            <w:pPr>
              <w:pStyle w:val="Compact"/>
            </w:pPr>
            <w:r>
              <w:t xml:space="preserve">Perancang dan pembangun paling mampu mengendalikan realisasinya</w:t>
            </w:r>
          </w:p>
        </w:tc>
      </w:tr>
      <w:tr>
        <w:tc>
          <w:tcPr/>
          <w:p>
            <w:pPr>
              <w:pStyle w:val="Compact"/>
            </w:pPr>
            <w:r>
              <w:t xml:space="preserve">Operasi dan pemeliharaan (Risiko Operasional)</w:t>
            </w:r>
          </w:p>
        </w:tc>
        <w:tc>
          <w:tcPr/>
          <w:p>
            <w:pPr>
              <w:pStyle w:val="Compact"/>
            </w:pPr>
            <w:r>
              <w:t xml:space="preserve">Badan usaha</w:t>
            </w:r>
          </w:p>
        </w:tc>
        <w:tc>
          <w:tcPr/>
          <w:p>
            <w:pPr>
              <w:pStyle w:val="Compact"/>
            </w:pPr>
            <w:r>
              <w:t xml:space="preserve">Aset dioperasikan badan usaha sepanjang konsesi</w:t>
            </w:r>
          </w:p>
        </w:tc>
      </w:tr>
      <w:tr>
        <w:tc>
          <w:tcPr/>
          <w:p>
            <w:pPr>
              <w:pStyle w:val="Compact"/>
            </w:pPr>
            <w:r>
              <w:t xml:space="preserve">Permintaan dan pendapatan (Risiko Pendapatan)</w:t>
            </w:r>
          </w:p>
        </w:tc>
        <w:tc>
          <w:tcPr/>
          <w:p>
            <w:pPr>
              <w:pStyle w:val="Compact"/>
            </w:pPr>
            <w:r>
              <w:t xml:space="preserve">Tergantung skema: PJPK pada</w:t>
            </w:r>
            <w:r>
              <w:t xml:space="preserve"> </w:t>
            </w:r>
            <w:r>
              <w:rPr>
                <w:i/>
                <w:iCs/>
              </w:rPr>
              <w:t xml:space="preserve">Availability Payment</w:t>
            </w:r>
            <w:r>
              <w:t xml:space="preserve">, badan usaha pada</w:t>
            </w:r>
            <w:r>
              <w:t xml:space="preserve"> </w:t>
            </w:r>
            <w:r>
              <w:rPr>
                <w:i/>
                <w:iCs/>
              </w:rPr>
              <w:t xml:space="preserve">user charge</w:t>
            </w:r>
          </w:p>
        </w:tc>
        <w:tc>
          <w:tcPr/>
          <w:p>
            <w:pPr>
              <w:pStyle w:val="Compact"/>
            </w:pPr>
            <w:r>
              <w:t xml:space="preserve">Skema pengembalian investasi menentukan penanggung fluktuasi</w:t>
            </w:r>
          </w:p>
        </w:tc>
      </w:tr>
      <w:tr>
        <w:tc>
          <w:tcPr/>
          <w:p>
            <w:pPr>
              <w:pStyle w:val="Compact"/>
            </w:pPr>
            <w:r>
              <w:t xml:space="preserve">Nilai tukar, suku bunga, inflasi konstruksi (Risiko Finansial)</w:t>
            </w:r>
          </w:p>
        </w:tc>
        <w:tc>
          <w:tcPr/>
          <w:p>
            <w:pPr>
              <w:pStyle w:val="Compact"/>
            </w:pPr>
            <w:r>
              <w:t xml:space="preserve">Badan usaha</w:t>
            </w:r>
          </w:p>
        </w:tc>
        <w:tc>
          <w:tcPr/>
          <w:p>
            <w:pPr>
              <w:pStyle w:val="Compact"/>
            </w:pPr>
            <w:r>
              <w:t xml:space="preserve">Tersedia asuransi dan lindung nilai (</w:t>
            </w:r>
            <w:r>
              <w:rPr>
                <w:i/>
                <w:iCs/>
              </w:rPr>
              <w:t xml:space="preserve">hedging</w:t>
            </w:r>
            <w:r>
              <w:t xml:space="preserve">)</w:t>
            </w:r>
          </w:p>
        </w:tc>
      </w:tr>
      <w:tr>
        <w:tc>
          <w:tcPr/>
          <w:p>
            <w:pPr>
              <w:pStyle w:val="Compact"/>
            </w:pPr>
            <w:r>
              <w:t xml:space="preserve">Perubahan hukum yang diskriminatif terhadap proyek (Risiko Politik)</w:t>
            </w:r>
          </w:p>
        </w:tc>
        <w:tc>
          <w:tcPr/>
          <w:p>
            <w:pPr>
              <w:pStyle w:val="Compact"/>
            </w:pPr>
            <w:r>
              <w:t xml:space="preserve">Pemerintah/PJPK</w:t>
            </w:r>
          </w:p>
        </w:tc>
        <w:tc>
          <w:tcPr/>
          <w:p>
            <w:pPr>
              <w:pStyle w:val="Compact"/>
            </w:pPr>
            <w:r>
              <w:t xml:space="preserve">Bersumber dari tindakan pemerintah sendiri</w:t>
            </w:r>
          </w:p>
        </w:tc>
      </w:tr>
      <w:tr>
        <w:tc>
          <w:tcPr/>
          <w:p>
            <w:pPr>
              <w:pStyle w:val="Compact"/>
            </w:pPr>
            <w:r>
              <w:t xml:space="preserve">Keterlambatan atau kegagalan perizinan (Risiko Politik)</w:t>
            </w:r>
          </w:p>
        </w:tc>
        <w:tc>
          <w:tcPr/>
          <w:p>
            <w:pPr>
              <w:pStyle w:val="Compact"/>
            </w:pPr>
            <w:r>
              <w:t xml:space="preserve">Pemerintah/PJPK</w:t>
            </w:r>
          </w:p>
        </w:tc>
        <w:tc>
          <w:tcPr/>
          <w:p>
            <w:pPr>
              <w:pStyle w:val="Compact"/>
            </w:pPr>
            <w:r>
              <w:t xml:space="preserve">Persetujuan berada di luar kendali badan usaha</w:t>
            </w:r>
          </w:p>
        </w:tc>
      </w:tr>
      <w:tr>
        <w:tc>
          <w:tcPr/>
          <w:p>
            <w:pPr>
              <w:pStyle w:val="Compact"/>
            </w:pPr>
            <w:r>
              <w:t xml:space="preserve">Wanprestasi sponsor atau subkontraktor (Risiko Sponsor)</w:t>
            </w:r>
          </w:p>
        </w:tc>
        <w:tc>
          <w:tcPr/>
          <w:p>
            <w:pPr>
              <w:pStyle w:val="Compact"/>
            </w:pPr>
            <w:r>
              <w:t xml:space="preserve">Badan usaha</w:t>
            </w:r>
          </w:p>
        </w:tc>
        <w:tc>
          <w:tcPr/>
          <w:p>
            <w:pPr>
              <w:pStyle w:val="Compact"/>
            </w:pPr>
            <w:r>
              <w:t xml:space="preserve">Berasal dari pihak swasta dalam struktur proyek</w:t>
            </w:r>
          </w:p>
        </w:tc>
      </w:tr>
      <w:tr>
        <w:tc>
          <w:tcPr/>
          <w:p>
            <w:pPr>
              <w:pStyle w:val="Compact"/>
            </w:pPr>
            <w:r>
              <w:t xml:space="preserve">Kahar (Risiko Kahar /</w:t>
            </w:r>
            <w:r>
              <w:t xml:space="preserve"> </w:t>
            </w:r>
            <w:r>
              <w:rPr>
                <w:i/>
                <w:iCs/>
              </w:rPr>
              <w:t xml:space="preserve">force majeure</w:t>
            </w:r>
            <w:r>
              <w:t xml:space="preserve">)</w:t>
            </w:r>
          </w:p>
        </w:tc>
        <w:tc>
          <w:tcPr/>
          <w:p>
            <w:pPr>
              <w:pStyle w:val="Compact"/>
            </w:pPr>
            <w:r>
              <w:t xml:space="preserve">Tergantung klausul dan jenis kahar</w:t>
            </w:r>
          </w:p>
        </w:tc>
        <w:tc>
          <w:tcPr/>
          <w:p>
            <w:pPr>
              <w:pStyle w:val="Compact"/>
            </w:pPr>
            <w:r>
              <w:t xml:space="preserve">Tidak ada kaidah pembagian tunggal</w:t>
            </w:r>
          </w:p>
        </w:tc>
      </w:tr>
    </w:tbl>
    <w:p>
      <w:pPr>
        <w:pStyle w:val="BodyText"/>
      </w:pPr>
      <w:r>
        <w:t xml:space="preserve">Satu baris pantas digarisbawahi. Pada</w:t>
      </w:r>
      <w:r>
        <w:t xml:space="preserve"> </w:t>
      </w:r>
      <w:r>
        <w:rPr>
          <w:i/>
          <w:iCs/>
        </w:rPr>
        <w:t xml:space="preserve">Availability Payment</w:t>
      </w:r>
      <w:r>
        <w:t xml:space="preserve">, PJPK membayar berkala atas ketersediaan layanan sesuai standar mutu, bukan atas jumlah pemakai, sehingga fluktuasi permintaan berpindah ke pemerintah. Pada</w:t>
      </w:r>
      <w:r>
        <w:t xml:space="preserve"> </w:t>
      </w:r>
      <w:r>
        <w:rPr>
          <w:i/>
          <w:iCs/>
        </w:rPr>
        <w:t xml:space="preserve">user charge</w:t>
      </w:r>
      <w:r>
        <w:t xml:space="preserve">, pengembalian investasi datang dari tarif pengguna dan risikonya tetap di badan usaha (portal KPBU Kementerian Keuangan, 2026).</w:t>
      </w:r>
    </w:p>
    <w:p>
      <w:pPr>
        <w:pStyle w:val="BodyText"/>
      </w:pPr>
      <w:r>
        <w:t xml:space="preserve">Tabel ini belum memuat seluruh kategori resmi. Sisanya, berikut alasannya, ada di bagian berikut.</w:t>
      </w:r>
    </w:p>
    <w:bookmarkEnd w:id="21"/>
    <w:bookmarkStart w:id="23" w:name="X382655389b8fa40e37017fde66c949c7b69622b"/>
    <w:p>
      <w:pPr>
        <w:pStyle w:val="Heading2"/>
      </w:pPr>
      <w:r>
        <w:t xml:space="preserve">Apa saja kategori risiko dalam proyek KPBU?</w:t>
      </w:r>
    </w:p>
    <w:p>
      <w:pPr>
        <w:pStyle w:val="FirstParagraph"/>
      </w:pPr>
      <w:r>
        <w:t xml:space="preserve">Ekosistem KPBU Indonesia memakai taksonomi 11 kategori risiko.</w:t>
      </w:r>
      <w:r>
        <w:t xml:space="preserve"> </w:t>
      </w:r>
      <w:hyperlink r:id="rId22">
        <w:r>
          <w:rPr>
            <w:rStyle w:val="Hyperlink"/>
          </w:rPr>
          <w:t xml:space="preserve">Simpul KPBU Kementerian Pekerjaan Umum</w:t>
        </w:r>
      </w:hyperlink>
      <w:r>
        <w:t xml:space="preserve"> </w:t>
      </w:r>
      <w:r>
        <w:t xml:space="preserve">mencantumkan risiko lokasi, desain-konstruksi-uji operasi, sponsor, finansial, operasional, pendapatan, konektivitas jaringan,</w:t>
      </w:r>
      <w:r>
        <w:t xml:space="preserve"> </w:t>
      </w:r>
      <w:r>
        <w:rPr>
          <w:i/>
          <w:iCs/>
        </w:rPr>
        <w:t xml:space="preserve">interface</w:t>
      </w:r>
      <w:r>
        <w:t xml:space="preserve">, politik, kahar, dan kepemilikan aset (diakses 2026). Kategori ini dipakai sebagai alat identifikasi di tahap penyiapan, lalu berlanjut ke penilaian, alokasi, dan mitigasi.</w:t>
      </w:r>
    </w:p>
    <w:p>
      <w:pPr>
        <w:pStyle w:val="BodyText"/>
      </w:pPr>
      <w:r>
        <w:t xml:space="preserve">Delapan dari sebelas kategori punya rujukan alokasi yang cukup jelas; tiga sisanya tidak. Pengelompokan kasarnya:</w:t>
      </w:r>
    </w:p>
    <w:p>
      <w:pPr>
        <w:pStyle w:val="Compact"/>
        <w:numPr>
          <w:ilvl w:val="0"/>
          <w:numId w:val="1001"/>
        </w:numPr>
      </w:pPr>
      <w:r>
        <w:rPr>
          <w:b/>
          <w:bCs/>
        </w:rPr>
        <w:t xml:space="preserve">Lazim di sisi pemerintah</w:t>
      </w:r>
      <w:r>
        <w:t xml:space="preserve">: risiko lokasi dan risiko politik.</w:t>
      </w:r>
    </w:p>
    <w:p>
      <w:pPr>
        <w:pStyle w:val="Compact"/>
        <w:numPr>
          <w:ilvl w:val="0"/>
          <w:numId w:val="1001"/>
        </w:numPr>
      </w:pPr>
      <w:r>
        <w:rPr>
          <w:b/>
          <w:bCs/>
        </w:rPr>
        <w:t xml:space="preserve">Lazim di sisi badan usaha</w:t>
      </w:r>
      <w:r>
        <w:t xml:space="preserve">: desain-konstruksi-uji operasi, operasional, finansial, dan sponsor.</w:t>
      </w:r>
    </w:p>
    <w:p>
      <w:pPr>
        <w:pStyle w:val="Compact"/>
        <w:numPr>
          <w:ilvl w:val="0"/>
          <w:numId w:val="1001"/>
        </w:numPr>
      </w:pPr>
      <w:r>
        <w:rPr>
          <w:b/>
          <w:bCs/>
        </w:rPr>
        <w:t xml:space="preserve">Ditentukan skema atau klausul</w:t>
      </w:r>
      <w:r>
        <w:t xml:space="preserve">: pendapatan dan kahar.</w:t>
      </w:r>
    </w:p>
    <w:p>
      <w:pPr>
        <w:pStyle w:val="Compact"/>
        <w:numPr>
          <w:ilvl w:val="0"/>
          <w:numId w:val="1001"/>
        </w:numPr>
      </w:pPr>
      <w:r>
        <w:rPr>
          <w:b/>
          <w:bCs/>
        </w:rPr>
        <w:t xml:space="preserve">Tanpa jawaban baku</w:t>
      </w:r>
      <w:r>
        <w:t xml:space="preserve">: konektivitas jaringan,</w:t>
      </w:r>
      <w:r>
        <w:t xml:space="preserve"> </w:t>
      </w:r>
      <w:r>
        <w:rPr>
          <w:i/>
          <w:iCs/>
        </w:rPr>
        <w:t xml:space="preserve">interface</w:t>
      </w:r>
      <w:r>
        <w:t xml:space="preserve">, dan kepemilikan aset.</w:t>
      </w:r>
    </w:p>
    <w:p>
      <w:pPr>
        <w:pStyle w:val="FirstParagraph"/>
      </w:pPr>
      <w:r>
        <w:t xml:space="preserve">Kelompok terakhir sering dipaksakan ke kotak</w:t>
      </w:r>
      <w:r>
        <w:t xml:space="preserve"> </w:t>
      </w:r>
      <w:r>
        <w:t xml:space="preserve">“pemerintah”</w:t>
      </w:r>
      <w:r>
        <w:t xml:space="preserve"> </w:t>
      </w:r>
      <w:r>
        <w:t xml:space="preserve">atau</w:t>
      </w:r>
      <w:r>
        <w:t xml:space="preserve"> </w:t>
      </w:r>
      <w:r>
        <w:t xml:space="preserve">“badan usaha”</w:t>
      </w:r>
      <w:r>
        <w:t xml:space="preserve"> </w:t>
      </w:r>
      <w:r>
        <w:t xml:space="preserve">demi matriks yang rapi. Padahal risiko</w:t>
      </w:r>
      <w:r>
        <w:t xml:space="preserve"> </w:t>
      </w:r>
      <w:r>
        <w:rPr>
          <w:i/>
          <w:iCs/>
        </w:rPr>
        <w:t xml:space="preserve">interface</w:t>
      </w:r>
      <w:r>
        <w:t xml:space="preserve"> </w:t>
      </w:r>
      <w:r>
        <w:t xml:space="preserve">dan konektivitas jaringan ditentukan struktur teknis proyek, sedangkan kepemilikan aset ditentukan bentuk kerja samanya. Jawaban jujurnya memang</w:t>
      </w:r>
      <w:r>
        <w:t xml:space="preserve"> </w:t>
      </w:r>
      <w:r>
        <w:t xml:space="preserve">“tergantung”</w:t>
      </w:r>
      <w:r>
        <w:t xml:space="preserve">, dan tim penyiapan lebih tertolong oleh itu daripada kepastian palsu.</w:t>
      </w:r>
    </w:p>
    <w:p>
      <w:pPr>
        <w:pStyle w:val="BodyText"/>
      </w:pPr>
      <w:r>
        <w:t xml:space="preserve">Taksonomi yang sama menjadi kerangka Acuan Alokasi Risiko, rujukan yang disusun dan diterbitkan PT PII selaku Badan Usaha Penjaminan Infrastruktur (BUPI). PMK No. 68 Tahun 2024, berlaku sejak 18 Oktober 2024, memandatkan penyusunan pedoman kategori dan pembagian risiko infrastruktur sekaligus peninjauannya sedikitnya sekali dalam 12 bulan. Edisi terbarunya terbit pada 2025.</w:t>
      </w:r>
    </w:p>
    <w:p>
      <w:pPr>
        <w:pStyle w:val="BodyText"/>
      </w:pPr>
      <w:r>
        <w:t xml:space="preserve">Yang dipakai sehari-hari di meja negosiasi bukan tebal dokumennya, melainkan kerangka berpikirnya.</w:t>
      </w:r>
    </w:p>
    <w:bookmarkEnd w:id="23"/>
    <w:bookmarkStart w:id="25" w:name="X7474f6fef819f5c6fa18cde69e8bb39ba7462bc"/>
    <w:p>
      <w:pPr>
        <w:pStyle w:val="Heading2"/>
      </w:pPr>
      <w:r>
        <w:t xml:space="preserve">Bagaimana alokasi risiko yang keliru menaikkan biaya proyek</w:t>
      </w:r>
    </w:p>
    <w:p>
      <w:pPr>
        <w:pStyle w:val="FirstParagraph"/>
      </w:pPr>
      <w:r>
        <w:t xml:space="preserve">Risiko yang dibebankan kepada pihak yang tidak mampu mengendalikannya tidak lenyap; ia kembali sebagai harga. Badan usaha memasukkannya ke penawaran,</w:t>
      </w:r>
      <w:r>
        <w:t xml:space="preserve"> </w:t>
      </w:r>
      <w:r>
        <w:rPr>
          <w:i/>
          <w:iCs/>
        </w:rPr>
        <w:t xml:space="preserve">lender</w:t>
      </w:r>
      <w:r>
        <w:t xml:space="preserve"> </w:t>
      </w:r>
      <w:r>
        <w:t xml:space="preserve">memasukkannya ke premi risiko, dan proyek dengan profil risiko yang tidak wajar cenderung sepi peminat lelang atau mandek sebelum</w:t>
      </w:r>
      <w:r>
        <w:t xml:space="preserve"> </w:t>
      </w:r>
      <w:r>
        <w:rPr>
          <w:i/>
          <w:iCs/>
        </w:rPr>
        <w:t xml:space="preserve">financial close</w:t>
      </w:r>
      <w:r>
        <w:t xml:space="preserve"> </w:t>
      </w:r>
      <w:r>
        <w:t xml:space="preserve">(penutupan pembiayaan).</w:t>
      </w:r>
    </w:p>
    <w:p>
      <w:pPr>
        <w:pStyle w:val="BodyText"/>
      </w:pPr>
      <w:r>
        <w:t xml:space="preserve">Urutannya di lapangan biasanya begini:</w:t>
      </w:r>
    </w:p>
    <w:p>
      <w:pPr>
        <w:pStyle w:val="Compact"/>
        <w:numPr>
          <w:ilvl w:val="0"/>
          <w:numId w:val="1002"/>
        </w:numPr>
      </w:pPr>
      <w:r>
        <w:rPr>
          <w:b/>
          <w:bCs/>
        </w:rPr>
        <w:t xml:space="preserve">Harga penawaran naik.</w:t>
      </w:r>
      <w:r>
        <w:t xml:space="preserve"> </w:t>
      </w:r>
      <w:r>
        <w:t xml:space="preserve">Peserta lelang memasang harga atas risiko yang tak bisa mereka kelola.</w:t>
      </w:r>
    </w:p>
    <w:p>
      <w:pPr>
        <w:pStyle w:val="Compact"/>
        <w:numPr>
          <w:ilvl w:val="0"/>
          <w:numId w:val="1002"/>
        </w:numPr>
      </w:pPr>
      <w:r>
        <w:rPr>
          <w:b/>
          <w:bCs/>
        </w:rPr>
        <w:t xml:space="preserve">Biaya dana naik.</w:t>
      </w:r>
      <w:r>
        <w:t xml:space="preserve"> </w:t>
      </w:r>
      <w:r>
        <w:t xml:space="preserve">Ketidakpastian sisi pemerintah muncul sebagai premi dalam struktur pembiayaan.</w:t>
      </w:r>
    </w:p>
    <w:p>
      <w:pPr>
        <w:pStyle w:val="Compact"/>
        <w:numPr>
          <w:ilvl w:val="0"/>
          <w:numId w:val="1002"/>
        </w:numPr>
      </w:pPr>
      <w:r>
        <w:rPr>
          <w:b/>
          <w:bCs/>
        </w:rPr>
        <w:t xml:space="preserve">Peminat lelang menipis.</w:t>
      </w:r>
      <w:r>
        <w:t xml:space="preserve"> </w:t>
      </w:r>
      <w:r>
        <w:t xml:space="preserve">Alokasi timpang menyaring keluar sponsor dan</w:t>
      </w:r>
      <w:r>
        <w:t xml:space="preserve"> </w:t>
      </w:r>
      <w:r>
        <w:rPr>
          <w:i/>
          <w:iCs/>
        </w:rPr>
        <w:t xml:space="preserve">lender</w:t>
      </w:r>
      <w:r>
        <w:t xml:space="preserve"> </w:t>
      </w:r>
      <w:r>
        <w:t xml:space="preserve">paling disiplin.</w:t>
      </w:r>
    </w:p>
    <w:p>
      <w:pPr>
        <w:pStyle w:val="Compact"/>
        <w:numPr>
          <w:ilvl w:val="0"/>
          <w:numId w:val="1002"/>
        </w:numPr>
      </w:pPr>
      <w:r>
        <w:rPr>
          <w:b/>
          <w:bCs/>
        </w:rPr>
        <w:t xml:space="preserve">Jalan ke</w:t>
      </w:r>
      <w:r>
        <w:rPr>
          <w:b/>
          <w:bCs/>
        </w:rPr>
        <w:t xml:space="preserve"> </w:t>
      </w:r>
      <w:r>
        <w:rPr>
          <w:b/>
          <w:bCs/>
          <w:i/>
          <w:iCs/>
        </w:rPr>
        <w:t xml:space="preserve">financial close</w:t>
      </w:r>
      <w:r>
        <w:rPr>
          <w:b/>
          <w:bCs/>
        </w:rPr>
        <w:t xml:space="preserve"> </w:t>
      </w:r>
      <w:r>
        <w:rPr>
          <w:b/>
          <w:bCs/>
        </w:rPr>
        <w:t xml:space="preserve">buntu.</w:t>
      </w:r>
      <w:r>
        <w:t xml:space="preserve"> </w:t>
      </w:r>
      <w:r>
        <w:t xml:space="preserve">Kesepakatan komersial ada, struktur risikonya tidak lolos uji kelayakan kredit.</w:t>
      </w:r>
    </w:p>
    <w:p>
      <w:pPr>
        <w:pStyle w:val="FirstParagraph"/>
      </w:pPr>
      <w:r>
        <w:t xml:space="preserve">Menahan terlalu banyak risiko di sisi pemerintah pun bukan jalan keluar gratis. Setiap risiko yang tetap di PJPK menjadi kewajiban kontinjensi yang harus disiapkan ruang fiskalnya.</w:t>
      </w:r>
    </w:p>
    <w:p>
      <w:pPr>
        <w:pStyle w:val="BodyText"/>
      </w:pPr>
      <w:r>
        <w:t xml:space="preserve">Sebagian di antaranya dapat dijamin agar proyek lebih</w:t>
      </w:r>
      <w:r>
        <w:t xml:space="preserve"> </w:t>
      </w:r>
      <w:r>
        <w:rPr>
          <w:i/>
          <w:iCs/>
        </w:rPr>
        <w:t xml:space="preserve">bankable</w:t>
      </w:r>
      <w:r>
        <w:t xml:space="preserve"> </w:t>
      </w:r>
      <w:r>
        <w:t xml:space="preserve">(layak dibiayai). Penjaminan bekerja tepat pada batas alokasi kontraktual: ia menjamin kewajiban finansial PJPK atas risiko yang memang sudah menjadi tanggung jawab pemerintah. Ia bukan subsidi, dan ia tidak menghapus risiko komersial badan usaha.</w:t>
      </w:r>
    </w:p>
    <w:p>
      <w:pPr>
        <w:pStyle w:val="BodyText"/>
      </w:pPr>
      <w:r>
        <w:t xml:space="preserve">Terminasi dini sering dibicarakan seolah kategori risiko tersendiri. Sebenarnya ia konsekuensi lintas kategori: mekanisme kompensasinya berbeda tergantung pemicunya, wanprestasi pemerintah atau wanprestasi badan usaha. Itu dirumuskan di klausul, bukan diasumsikan.</w:t>
      </w:r>
    </w:p>
    <w:p>
      <w:pPr>
        <w:pStyle w:val="BodyText"/>
      </w:pPr>
      <w:r>
        <w:t xml:space="preserve">Skalanya bukan urusan kecil. RPJMN 2025–2029 memproyeksikan kebutuhan pembiayaan infrastruktur nasional pada kisaran Rp 10.146–10.303 triliun atau sekitar USD 625 miliar; angka presisinya berbeda antarsumber, sehingga lebih aman dibaca sebagai rentang ketimbang satu angka pasti. Porsi yang diharapkan datang dari badan usaha pun belum punya rujukan publik yang seragam, tetapi arahnya tidak diperdebatkan: kebutuhan sebesar itu tidak akan tertutup APBN dan APBD saja.</w:t>
      </w:r>
    </w:p>
    <w:p>
      <w:pPr>
        <w:pStyle w:val="BodyText"/>
      </w:pPr>
      <w:r>
        <w:t xml:space="preserve">Pada proyek daerah yang nilainya jauh lebih kecil, beban premi risiko justru terasa lebih cepat, dan opsi</w:t>
      </w:r>
      <w:r>
        <w:t xml:space="preserve"> </w:t>
      </w:r>
      <w:hyperlink r:id="rId24">
        <w:r>
          <w:rPr>
            <w:rStyle w:val="Hyperlink"/>
          </w:rPr>
          <w:t xml:space="preserve">pembiayaan kreatif</w:t>
        </w:r>
      </w:hyperlink>
      <w:r>
        <w:t xml:space="preserve"> </w:t>
      </w:r>
      <w:r>
        <w:t xml:space="preserve">di luar APBD murni masuk ke percakapan yang sama.</w:t>
      </w:r>
    </w:p>
    <w:bookmarkEnd w:id="25"/>
    <w:bookmarkStart w:id="26" w:name="Xb8a1e348411f75b0b38a0b7f934f2ffb020e025"/>
    <w:p>
      <w:pPr>
        <w:pStyle w:val="Heading2"/>
      </w:pPr>
      <w:r>
        <w:t xml:space="preserve">Tiga salah kaprah tentang pembagian risiko KPBU</w:t>
      </w:r>
    </w:p>
    <w:p>
      <w:pPr>
        <w:pStyle w:val="FirstParagraph"/>
      </w:pPr>
      <w:r>
        <w:t xml:space="preserve">Tiga keyakinan ini paling sering terbawa ke ruang negosiasi: KPBU memindahkan risiko ke swasta, pemerintah menanggung semua yang berbau kebijakan, dan alokasi risiko selesai begitu kontrak diteken. Ketiganya keliru. Masing-masing menghasilkan kesalahan struktur yang baru terasa mahal ketika lelang sudah berjalan dan dokumen sulit dibuka kembali.</w:t>
      </w:r>
    </w:p>
    <w:p>
      <w:pPr>
        <w:pStyle w:val="BodyText"/>
      </w:pPr>
      <w:r>
        <w:rPr>
          <w:b/>
          <w:bCs/>
        </w:rPr>
        <w:t xml:space="preserve">“KPBU memindahkan risiko ke swasta.”</w:t>
      </w:r>
      <w:r>
        <w:t xml:space="preserve"> </w:t>
      </w:r>
      <w:r>
        <w:t xml:space="preserve">Yang terjadi adalah pembagian berdasarkan kontrak, bukan pelimpahan. Aset tetap milik pemerintah, dan sebagian risiko melekat pada PJPK sepanjang perjanjian berlaku.</w:t>
      </w:r>
    </w:p>
    <w:p>
      <w:pPr>
        <w:pStyle w:val="BodyText"/>
      </w:pPr>
      <w:r>
        <w:rPr>
          <w:b/>
          <w:bCs/>
        </w:rPr>
        <w:t xml:space="preserve">“Pemerintah menanggung semua yang berbau kebijakan.”</w:t>
      </w:r>
      <w:r>
        <w:t xml:space="preserve"> </w:t>
      </w:r>
      <w:r>
        <w:t xml:space="preserve">Cakupannya jauh lebih sempit. Yang lazim menjadi tanggung jawab pemerintah adalah perubahan hukum yang diskriminatif dan spesifik terhadap proyek, serta keterlambatan persetujuan yang berada di tangan otoritas. Kebijakan makro yang berlaku umum bagi semua pelaku usaha ada di luar rumusan itu, dan kahar tidak punya kaidah</w:t>
      </w:r>
      <w:r>
        <w:t xml:space="preserve"> </w:t>
      </w:r>
      <w:r>
        <w:t xml:space="preserve">“dibagi rata”</w:t>
      </w:r>
      <w:r>
        <w:t xml:space="preserve"> </w:t>
      </w:r>
      <w:r>
        <w:t xml:space="preserve">yang berjalan otomatis.</w:t>
      </w:r>
    </w:p>
    <w:p>
      <w:pPr>
        <w:pStyle w:val="BodyText"/>
      </w:pPr>
      <w:r>
        <w:rPr>
          <w:b/>
          <w:bCs/>
        </w:rPr>
        <w:t xml:space="preserve">“Alokasi risiko selesai saat kontrak ditandatangani.”</w:t>
      </w:r>
      <w:r>
        <w:t xml:space="preserve"> </w:t>
      </w:r>
      <w:r>
        <w:t xml:space="preserve">Profil risiko bergerak sepanjang siklus proyek: yang dominan di tahap konstruksi tidak sama dengan yang dominan di tahun kelima operasi. Kerangka regulasinya sendiri mengasumsikan pemutakhiran berkala, bukan dokumen sekali jadi.</w:t>
      </w:r>
    </w:p>
    <w:p>
      <w:pPr>
        <w:pStyle w:val="BodyText"/>
      </w:pPr>
      <w:r>
        <w:t xml:space="preserve">Satu catatan yang jarang ditulis: tidak ada matriks alokasi yang berlaku universal. Profil risiko proyek telekomunikasi seperti Palapa Ring berbeda secara konseptual dari proyek air minum seperti SPAM Umbulan atau persampahan seperti PSEL Legok Nangka. Kerangka kategori adalah alat berpikir, bukan jawaban siap pakai yang tinggal disalin ke draf perjanjian.</w:t>
      </w:r>
    </w:p>
    <w:bookmarkEnd w:id="26"/>
    <w:bookmarkStart w:id="33" w:name="faq-pertanyaan-yang-sering-diajukan"/>
    <w:p>
      <w:pPr>
        <w:pStyle w:val="Heading2"/>
      </w:pPr>
      <w:r>
        <w:t xml:space="preserve">FAQ (Pertanyaan yang Sering Diajukan)</w:t>
      </w:r>
    </w:p>
    <w:bookmarkStart w:id="27" w:name="Xe4eda944d6851f1ed184d814f892d1bfea1a4f0"/>
    <w:p>
      <w:pPr>
        <w:pStyle w:val="Heading3"/>
      </w:pPr>
      <w:r>
        <w:t xml:space="preserve">Siapa yang menanggung risiko lahan dalam proyek KPBU?</w:t>
      </w:r>
    </w:p>
    <w:p>
      <w:pPr>
        <w:pStyle w:val="FirstParagraph"/>
      </w:pPr>
      <w:r>
        <w:t xml:space="preserve">Penyediaan dan pembebasan lahan umumnya menjadi tanggung jawab pemerintah selaku PJPK, karena prosesnya melekat pada kewenangan pengadaan tanah untuk kepentingan umum. Dalam taksonomi resmi, ini masuk kategori Risiko Lokasi. Keterlambatan pembebasan lahan karena itu lazim diperlakukan sebagai risiko sisi pemerintah, meski detailnya tetap dirumuskan per kontrak.</w:t>
      </w:r>
    </w:p>
    <w:bookmarkEnd w:id="27"/>
    <w:bookmarkStart w:id="28" w:name="Xac4dbbd5a0a982c13a2c627ef6cb021a192cf22"/>
    <w:p>
      <w:pPr>
        <w:pStyle w:val="Heading3"/>
      </w:pPr>
      <w:r>
        <w:t xml:space="preserve">Apa saja kategori risiko dalam proyek KPBU?</w:t>
      </w:r>
    </w:p>
    <w:p>
      <w:pPr>
        <w:pStyle w:val="FirstParagraph"/>
      </w:pPr>
      <w:r>
        <w:t xml:space="preserve">Simpul KPBU Kementerian Pekerjaan Umum mencantumkan 11 kategori (diakses 2026): risiko lokasi, desain-konstruksi-uji operasi, sponsor, finansial, operasional, pendapatan, konektivitas jaringan,</w:t>
      </w:r>
      <w:r>
        <w:t xml:space="preserve"> </w:t>
      </w:r>
      <w:r>
        <w:rPr>
          <w:i/>
          <w:iCs/>
        </w:rPr>
        <w:t xml:space="preserve">interface</w:t>
      </w:r>
      <w:r>
        <w:t xml:space="preserve">, politik, kahar, dan kepemilikan aset. Taksonomi ini dipakai sejak identifikasi risiko pada tahap penyiapan, lalu diteruskan ke penilaian, alokasi, dan rencana mitigasi.</w:t>
      </w:r>
    </w:p>
    <w:bookmarkEnd w:id="28"/>
    <w:bookmarkStart w:id="29" w:name="X734e9a1e98b8a7676b309186222b94e3d4a43d3"/>
    <w:p>
      <w:pPr>
        <w:pStyle w:val="Heading3"/>
      </w:pPr>
      <w:r>
        <w:t xml:space="preserve">Apa bedanya risiko yang ditanggung pemerintah dan badan usaha?</w:t>
      </w:r>
    </w:p>
    <w:p>
      <w:pPr>
        <w:pStyle w:val="FirstParagraph"/>
      </w:pPr>
      <w:r>
        <w:t xml:space="preserve">Pemerintah lazim memikul risiko yang bersumber dari tindakannya sendiri, seperti perubahan peraturan yang diskriminatif terhadap proyek dan keterlambatan perizinan. Badan usaha memikul risiko yang bisa dikendalikan lewat kompetensi dan instrumen pasar: desain, konstruksi, operasi-pemeliharaan, serta risiko finansial yang dapat diasuransikan atau ditutup dengan lindung nilai.</w:t>
      </w:r>
    </w:p>
    <w:bookmarkEnd w:id="29"/>
    <w:bookmarkStart w:id="30" w:name="X86b18aae9f4e985a8942e7afbdb0bf7e32c1545"/>
    <w:p>
      <w:pPr>
        <w:pStyle w:val="Heading3"/>
      </w:pPr>
      <w:r>
        <w:t xml:space="preserve">Siapa yang membiayai proyek pada skema KPBU?</w:t>
      </w:r>
    </w:p>
    <w:p>
      <w:pPr>
        <w:pStyle w:val="FirstParagraph"/>
      </w:pPr>
      <w:r>
        <w:t xml:space="preserve">Pembiayaan utamanya berasal dari badan usaha pelaksana, bukan dari APBN atau APBD, dan di situlah bedanya dengan pengadaan konvensional. Pengembalian investasi mengikuti skema yang dipilih:</w:t>
      </w:r>
      <w:r>
        <w:t xml:space="preserve"> </w:t>
      </w:r>
      <w:r>
        <w:rPr>
          <w:i/>
          <w:iCs/>
        </w:rPr>
        <w:t xml:space="preserve">Availability Payment</w:t>
      </w:r>
      <w:r>
        <w:t xml:space="preserve"> </w:t>
      </w:r>
      <w:r>
        <w:t xml:space="preserve">berarti pemerintah membayar berkala atas ketersediaan layanan, sedangkan</w:t>
      </w:r>
      <w:r>
        <w:t xml:space="preserve"> </w:t>
      </w:r>
      <w:r>
        <w:rPr>
          <w:i/>
          <w:iCs/>
        </w:rPr>
        <w:t xml:space="preserve">user charge</w:t>
      </w:r>
      <w:r>
        <w:t xml:space="preserve"> </w:t>
      </w:r>
      <w:r>
        <w:t xml:space="preserve">mengandalkan tarif pengguna. Pilihan itu menentukan penanggung risiko permintaan.</w:t>
      </w:r>
    </w:p>
    <w:bookmarkEnd w:id="30"/>
    <w:bookmarkStart w:id="31" w:name="X5cf502b15226ccedba06ed61663d153a9c5d152"/>
    <w:p>
      <w:pPr>
        <w:pStyle w:val="Heading3"/>
      </w:pPr>
      <w:r>
        <w:t xml:space="preserve">Apa kepanjangan PJPK dan apa perannya dalam pengelolaan risiko?</w:t>
      </w:r>
    </w:p>
    <w:p>
      <w:pPr>
        <w:pStyle w:val="FirstParagraph"/>
      </w:pPr>
      <w:r>
        <w:t xml:space="preserve">PJPK adalah Penanggung Jawab Proyek Kerja Sama: menteri, kepala lembaga, atau kepala daerah yang bertindak sebagai pihak pemerintah dalam perjanjian KPBU. Dalam pengelolaan risiko, PJPK menyusun dan menyepakati matriks alokasi risiko, memikul risiko sisi pemerintah, dan bila perlu mengajukan usulan penjaminan kepada badan usaha penjaminan infrastruktur.</w:t>
      </w:r>
    </w:p>
    <w:bookmarkEnd w:id="31"/>
    <w:bookmarkStart w:id="32" w:name="X02d66b5c989014500658844444b40cd236d89be"/>
    <w:p>
      <w:pPr>
        <w:pStyle w:val="Heading3"/>
      </w:pPr>
      <w:r>
        <w:t xml:space="preserve">Apakah skema KPBU memindahkan seluruh risiko kepada badan usaha?</w:t>
      </w:r>
    </w:p>
    <w:p>
      <w:pPr>
        <w:pStyle w:val="FirstParagraph"/>
      </w:pPr>
      <w:r>
        <w:t xml:space="preserve">Tidak. Keterlibatan badan usaha tidak memindahkan seluruh risiko kepadanya, dan di sinilah KPBU berbeda dari privatisasi. Kepemilikan aset tetap di pihak pemerintah, sementara risiko dibagi mengikuti prinsip pihak yang paling mampu mengelola. Risiko politik dan lokasi umumnya tetap melekat pada PJPK sepanjang perjanjian berlaku.</w:t>
      </w:r>
    </w:p>
    <w:bookmarkEnd w:id="32"/>
    <w:bookmarkEnd w:id="33"/>
    <w:bookmarkStart w:id="34" w:name="kesimpulan"/>
    <w:p>
      <w:pPr>
        <w:pStyle w:val="Heading2"/>
      </w:pPr>
      <w:r>
        <w:t xml:space="preserve">Kesimpulan</w:t>
      </w:r>
    </w:p>
    <w:p>
      <w:pPr>
        <w:pStyle w:val="FirstParagraph"/>
      </w:pPr>
      <w:r>
        <w:t xml:space="preserve">Matriks alokasi risiko bukan formalitas dokumen lelang. Ia adalah harga proyek yang ditulis dalam bentuk klausul. Ketika tiap kategori diletakkan pada pihak yang benar-benar mampu mengelolanya, biaya dana turun dengan sendirinya dan jalan menuju</w:t>
      </w:r>
      <w:r>
        <w:t xml:space="preserve"> </w:t>
      </w:r>
      <w:r>
        <w:rPr>
          <w:i/>
          <w:iCs/>
        </w:rPr>
        <w:t xml:space="preserve">financial close</w:t>
      </w:r>
      <w:r>
        <w:t xml:space="preserve"> </w:t>
      </w:r>
      <w:r>
        <w:t xml:space="preserve">menjadi lebih pendek. Sisa risiko di sisi pemerintah itulah yang kemudian dapat diperkuat: PT PII, selaku Badan Usaha Penjaminan Infrastruktur di bawah Kementerian Keuangan, menerbitkan penjaminan atas kewajiban PJPK yang sudah tertulis dalam kontrak KPBU.</w:t>
      </w:r>
    </w:p>
    <w:p>
      <w:pPr>
        <w:pStyle w:val="BodyText"/>
      </w:pPr>
      <w:r>
        <w:t xml:space="preserve">Cara kerja Penjaminan Pemerintah atas risiko sisi PJPK yang sudah dialokasikan dalam kontrak dapat Anda telusuri lebih jauh di ptpii.co.id.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kpbu.kemenkeu.go.id/read/23-228/umum/tentang-kpbu/kpbu-bukan-privatisasi-swastanisasi" TargetMode="External" /><Relationship Type="http://schemas.openxmlformats.org/officeDocument/2006/relationships/hyperlink" Id="rId22" Target="https://simpulkpbu.pu.go.id/pages/risiko/kategori-risiko" TargetMode="External" /><Relationship Type="http://schemas.openxmlformats.org/officeDocument/2006/relationships/hyperlink" Id="rId17" Target="https://www.ptpii.co.id/kpbu" TargetMode="External" /><Relationship Type="http://schemas.openxmlformats.org/officeDocument/2006/relationships/hyperlink" Id="rId24" Target="https://www.ptpii.co.id/pembiayaan-kreatif" TargetMode="External" /><Relationship Type="http://schemas.openxmlformats.org/officeDocument/2006/relationships/hyperlink" Id="rId18"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19" Target="https://kpbu.kemenkeu.go.id/read/23-228/umum/tentang-kpbu/kpbu-bukan-privatisasi-swastanisasi" TargetMode="External" /><Relationship Type="http://schemas.openxmlformats.org/officeDocument/2006/relationships/hyperlink" Id="rId22" Target="https://simpulkpbu.pu.go.id/pages/risiko/kategori-risiko" TargetMode="External" /><Relationship Type="http://schemas.openxmlformats.org/officeDocument/2006/relationships/hyperlink" Id="rId17" Target="https://www.ptpii.co.id/kpbu" TargetMode="External" /><Relationship Type="http://schemas.openxmlformats.org/officeDocument/2006/relationships/hyperlink" Id="rId24" Target="https://www.ptpii.co.id/pembiayaan-kreatif" TargetMode="External" /><Relationship Type="http://schemas.openxmlformats.org/officeDocument/2006/relationships/hyperlink" Id="rId18"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2026-08-12T09:08:31Z</dcterms:created>
  <dcterms:modified xsi:type="dcterms:W3CDTF">2026-08-12T09:08:31Z</dcterms:modified>
</cp:coreProperties>
</file>

<file path=docProps/custom.xml><?xml version="1.0" encoding="utf-8"?>
<Properties xmlns="http://schemas.openxmlformats.org/officeDocument/2006/custom-properties" xmlns:vt="http://schemas.openxmlformats.org/officeDocument/2006/docPropsVTypes"/>
</file>