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"Pembiayaan Infrastruktur: Siapa yang Menutup Kekurangan Dana Nasional"</w:t>
      </w:r>
      <w:r>
        <w:br/>
      </w:r>
      <w:r>
        <w:rPr>
          <w:rStyle w:val="FunctionTok"/>
        </w:rPr>
        <w:t xml:space="preserve">meta_title</w:t>
      </w:r>
      <w:r>
        <w:rPr>
          <w:rStyle w:val="KeywordTok"/>
        </w:rPr>
        <w:t xml:space="preserve">:</w:t>
      </w:r>
      <w:r>
        <w:rPr>
          <w:rStyle w:val="AttributeTok"/>
        </w:rPr>
        <w:t xml:space="preserve"> </w:t>
      </w:r>
      <w:r>
        <w:rPr>
          <w:rStyle w:val="StringTok"/>
        </w:rPr>
        <w:t xml:space="preserve">"Pembiayaan Infrastruktur: Siapa Menutup Kekurangannya"</w:t>
      </w:r>
      <w:r>
        <w:br/>
      </w:r>
      <w:r>
        <w:rPr>
          <w:rStyle w:val="FunctionTok"/>
        </w:rPr>
        <w:t xml:space="preserve">meta_description</w:t>
      </w:r>
      <w:r>
        <w:rPr>
          <w:rStyle w:val="KeywordTok"/>
        </w:rPr>
        <w:t xml:space="preserve">:</w:t>
      </w:r>
      <w:r>
        <w:rPr>
          <w:rStyle w:val="AttributeTok"/>
        </w:rPr>
        <w:t xml:space="preserve"> </w:t>
      </w:r>
      <w:r>
        <w:rPr>
          <w:rStyle w:val="StringTok"/>
        </w:rPr>
        <w:t xml:space="preserve">"Pembiayaan infrastruktur RPJMN 2025–2029: APBN dan APBD hanya menutup sekitar 40%. Peta sumber dana, peran BUMN dan swasta, plus cara membaca angka gap."</w:t>
      </w:r>
      <w:r>
        <w:br/>
      </w:r>
      <w:r>
        <w:rPr>
          <w:rStyle w:val="FunctionTok"/>
        </w:rPr>
        <w:t xml:space="preserve">slug</w:t>
      </w:r>
      <w:r>
        <w:rPr>
          <w:rStyle w:val="KeywordTok"/>
        </w:rPr>
        <w:t xml:space="preserve">:</w:t>
      </w:r>
      <w:r>
        <w:rPr>
          <w:rStyle w:val="AttributeTok"/>
        </w:rPr>
        <w:t xml:space="preserve"> </w:t>
      </w:r>
      <w:r>
        <w:rPr>
          <w:rStyle w:val="StringTok"/>
        </w:rPr>
        <w:t xml:space="preserve">"pembiayaan-infrastruktur-sumber-dana-nasional"</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"pembiayaan infrastruktur"</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"funding gap infrastruktur"</w:t>
      </w:r>
      <w:r>
        <w:br/>
      </w:r>
      <w:r>
        <w:rPr>
          <w:rStyle w:val="AttributeTok"/>
        </w:rPr>
        <w:t xml:space="preserve">  </w:t>
      </w:r>
      <w:r>
        <w:rPr>
          <w:rStyle w:val="KeywordTok"/>
        </w:rPr>
        <w:t xml:space="preserve">-</w:t>
      </w:r>
      <w:r>
        <w:rPr>
          <w:rStyle w:val="AttributeTok"/>
        </w:rPr>
        <w:t xml:space="preserve"> </w:t>
      </w:r>
      <w:r>
        <w:rPr>
          <w:rStyle w:val="StringTok"/>
        </w:rPr>
        <w:t xml:space="preserve">"kebutuhan investasi infrastruktur RPJMN 2025-2029"</w:t>
      </w:r>
      <w:r>
        <w:br/>
      </w:r>
      <w:r>
        <w:rPr>
          <w:rStyle w:val="AttributeTok"/>
        </w:rPr>
        <w:t xml:space="preserve">  </w:t>
      </w:r>
      <w:r>
        <w:rPr>
          <w:rStyle w:val="KeywordTok"/>
        </w:rPr>
        <w:t xml:space="preserve">-</w:t>
      </w:r>
      <w:r>
        <w:rPr>
          <w:rStyle w:val="AttributeTok"/>
        </w:rPr>
        <w:t xml:space="preserve"> </w:t>
      </w:r>
      <w:r>
        <w:rPr>
          <w:rStyle w:val="StringTok"/>
        </w:rPr>
        <w:t xml:space="preserve">"sumber pembiayaan infrastruktur"</w:t>
      </w:r>
      <w:r>
        <w:br/>
      </w:r>
      <w:r>
        <w:rPr>
          <w:rStyle w:val="AttributeTok"/>
        </w:rPr>
        <w:t xml:space="preserve">  </w:t>
      </w:r>
      <w:r>
        <w:rPr>
          <w:rStyle w:val="KeywordTok"/>
        </w:rPr>
        <w:t xml:space="preserve">-</w:t>
      </w:r>
      <w:r>
        <w:rPr>
          <w:rStyle w:val="AttributeTok"/>
        </w:rPr>
        <w:t xml:space="preserve"> </w:t>
      </w:r>
      <w:r>
        <w:rPr>
          <w:rStyle w:val="StringTok"/>
        </w:rPr>
        <w:t xml:space="preserve">"keterbatasan APBN dan APBD"</w:t>
      </w:r>
      <w:r>
        <w:br/>
      </w:r>
      <w:r>
        <w:rPr>
          <w:rStyle w:val="AttributeTok"/>
        </w:rPr>
        <w:t xml:space="preserve">  </w:t>
      </w:r>
      <w:r>
        <w:rPr>
          <w:rStyle w:val="KeywordTok"/>
        </w:rPr>
        <w:t xml:space="preserve">-</w:t>
      </w:r>
      <w:r>
        <w:rPr>
          <w:rStyle w:val="AttributeTok"/>
        </w:rPr>
        <w:t xml:space="preserve"> </w:t>
      </w:r>
      <w:r>
        <w:rPr>
          <w:rStyle w:val="StringTok"/>
        </w:rPr>
        <w:t xml:space="preserve">"partisipasi swasta dalam infrastruktur"</w:t>
      </w:r>
      <w:r>
        <w:br/>
      </w:r>
      <w:r>
        <w:rPr>
          <w:rStyle w:val="AttributeTok"/>
        </w:rPr>
        <w:t xml:space="preserve">  </w:t>
      </w:r>
      <w:r>
        <w:rPr>
          <w:rStyle w:val="KeywordTok"/>
        </w:rPr>
        <w:t xml:space="preserve">-</w:t>
      </w:r>
      <w:r>
        <w:rPr>
          <w:rStyle w:val="AttributeTok"/>
        </w:rPr>
        <w:t xml:space="preserve"> </w:t>
      </w:r>
      <w:r>
        <w:rPr>
          <w:rStyle w:val="StringTok"/>
        </w:rPr>
        <w:t xml:space="preserve">"KPBU"</w:t>
      </w:r>
      <w:r>
        <w:br/>
      </w:r>
      <w:r>
        <w:rPr>
          <w:rStyle w:val="AttributeTok"/>
        </w:rPr>
        <w:t xml:space="preserve">  </w:t>
      </w:r>
      <w:r>
        <w:rPr>
          <w:rStyle w:val="KeywordTok"/>
        </w:rPr>
        <w:t xml:space="preserve">-</w:t>
      </w:r>
      <w:r>
        <w:rPr>
          <w:rStyle w:val="AttributeTok"/>
        </w:rPr>
        <w:t xml:space="preserve"> </w:t>
      </w:r>
      <w:r>
        <w:rPr>
          <w:rStyle w:val="StringTok"/>
        </w:rPr>
        <w:t xml:space="preserve">"lembaga pembiayaan infrastruktur"</w:t>
      </w:r>
      <w:r>
        <w:br/>
      </w:r>
      <w:r>
        <w:rPr>
          <w:rStyle w:val="AttributeTok"/>
        </w:rPr>
        <w:t xml:space="preserve">  </w:t>
      </w:r>
      <w:r>
        <w:rPr>
          <w:rStyle w:val="KeywordTok"/>
        </w:rPr>
        <w:t xml:space="preserve">-</w:t>
      </w:r>
      <w:r>
        <w:rPr>
          <w:rStyle w:val="AttributeTok"/>
        </w:rPr>
        <w:t xml:space="preserve"> </w:t>
      </w:r>
      <w:r>
        <w:rPr>
          <w:rStyle w:val="StringTok"/>
        </w:rPr>
        <w:t xml:space="preserve">"penjaminan pemerintah"</w:t>
      </w:r>
      <w:r>
        <w:br/>
      </w:r>
      <w:r>
        <w:rPr>
          <w:rStyle w:val="AttributeTok"/>
        </w:rPr>
        <w:t xml:space="preserve">  </w:t>
      </w:r>
      <w:r>
        <w:rPr>
          <w:rStyle w:val="KeywordTok"/>
        </w:rPr>
        <w:t xml:space="preserve">-</w:t>
      </w:r>
      <w:r>
        <w:rPr>
          <w:rStyle w:val="AttributeTok"/>
        </w:rPr>
        <w:t xml:space="preserve"> </w:t>
      </w:r>
      <w:r>
        <w:rPr>
          <w:rStyle w:val="StringTok"/>
        </w:rPr>
        <w:t xml:space="preserve">"bankability proyek"</w:t>
      </w:r>
      <w:r>
        <w:br/>
      </w:r>
      <w:r>
        <w:rPr>
          <w:rStyle w:val="AttributeTok"/>
        </w:rPr>
        <w:t xml:space="preserve">  </w:t>
      </w:r>
      <w:r>
        <w:rPr>
          <w:rStyle w:val="KeywordTok"/>
        </w:rPr>
        <w:t xml:space="preserve">-</w:t>
      </w:r>
      <w:r>
        <w:rPr>
          <w:rStyle w:val="AttributeTok"/>
        </w:rPr>
        <w:t xml:space="preserve"> </w:t>
      </w:r>
      <w:r>
        <w:rPr>
          <w:rStyle w:val="StringTok"/>
        </w:rPr>
        <w:t xml:space="preserve">"project financing"</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"https://www.ptpii.co.id/pembiayaan-kreatif"</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"skema pembiayaan kreatif untuk infrastruktur"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"https://www.ptpii.co.id/kpbu"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"skema KPBU"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"https://www.ptpii.co.id/public-private-partnership"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"public private partnership"</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"Struktur pembiayaan proyek KPBU lazim 70–80% utang; penjaminan sebagai credit enhancement yang menaikkan bankability"</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"https://www.djkn.kemenkeu.go.id/berita_media/baca/12715/Pendanaan-Infrastruktur.html"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"Angka historis RPJMN 2015–2019 (Rp 4.769 triliun; 41,3% / 22,2% / 36,5%) dan peran berbeda PT SMI, PT IIF, dan PT PII"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"https://iif.co.id"</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"Komitmen investasi kumulatif PT IIF per Desember 2025, sebagai contoh lembaga pembiayaan (bukan penjamin)"</w:t>
      </w:r>
      <w:r>
        <w:br/>
      </w:r>
      <w:r>
        <w:rPr>
          <w:rStyle w:val="FunctionTok"/>
        </w:rPr>
        <w:t xml:space="preserve">brief_id</w:t>
      </w:r>
      <w:r>
        <w:rPr>
          <w:rStyle w:val="KeywordTok"/>
        </w:rPr>
        <w:t xml:space="preserve">:</w:t>
      </w:r>
      <w:r>
        <w:rPr>
          <w:rStyle w:val="AttributeTok"/>
        </w:rPr>
        <w:t xml:space="preserve"> </w:t>
      </w:r>
      <w:r>
        <w:rPr>
          <w:rStyle w:val="StringTok"/>
        </w:rPr>
        <w:t xml:space="preserve">"pembiayaan-infrastruktur-01"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"2026-08-12"</w:t>
      </w:r>
      <w:r>
        <w:br/>
      </w:r>
      <w:r>
        <w:rPr>
          <w:rStyle w:val="FunctionTok"/>
        </w:rPr>
        <w:t xml:space="preserve">word_count</w:t>
      </w:r>
      <w:r>
        <w:rPr>
          <w:rStyle w:val="KeywordTok"/>
        </w:rPr>
        <w:t xml:space="preserve">:</w:t>
      </w:r>
      <w:r>
        <w:rPr>
          <w:rStyle w:val="AttributeTok"/>
        </w:rPr>
        <w:t xml:space="preserve"> </w:t>
      </w:r>
      <w:r>
        <w:rPr>
          <w:rStyle w:val="DecValTok"/>
        </w:rPr>
        <w:t xml:space="preserve">1795</w:t>
      </w:r>
    </w:p>
    <w:p>
      <w:r>
        <w:pict>
          <v:rect style="width:0;height:1.5pt" o:hralign="center" o:hrstd="t" o:hr="t"/>
        </w:pict>
      </w:r>
    </w:p>
    <w:bookmarkEnd w:id="16"/>
    <w:bookmarkStart w:id="36" w:name="X6e99566983ceadb72801f04e00010542f859ac7"/>
    <w:p>
      <w:pPr>
        <w:pStyle w:val="Heading1"/>
      </w:pPr>
      <w:r>
        <w:t xml:space="preserve">Pembiayaan Infrastruktur: Siapa yang Menutup Kekurangan Dana Nasional</w:t>
      </w:r>
    </w:p>
    <w:p>
      <w:pPr>
        <w:pStyle w:val="FirstParagraph"/>
      </w:pPr>
      <w:r>
        <w:t xml:space="preserve">Tiga angka berbeda beredar untuk pertanyaan yang kelihatannya sama. Analis kredit yang mencari besaran kebutuhan pembiayaan infrastruktur Indonesia akan menemukan USD 625,37 miliar di satu laporan, Rp 1.905,3 triliun di laporan kedua, dan Rp 47.587,3 triliun di laporan ketiga. Ketiganya sah dan mengukur hal berbeda karena cakupan serta periodenya tidak sama. Artikel ini memetakan dari mana dana infrastruktur nasional benar-benar datang pada siklus perencanaan berjalan, siapa yang menutup porsi di luar anggaran negara, dan di titik mana</w:t>
      </w:r>
      <w:r>
        <w:t xml:space="preserve"> </w:t>
      </w:r>
      <w:hyperlink r:id="rId17">
        <w:r>
          <w:rPr>
            <w:rStyle w:val="Hyperlink"/>
          </w:rPr>
          <w:t xml:space="preserve">skema pembiayaan kreatif untuk infrastruktur</w:t>
        </w:r>
      </w:hyperlink>
      <w:r>
        <w:t xml:space="preserve"> </w:t>
      </w:r>
      <w:r>
        <w:t xml:space="preserve">serta instrumen fiskal lain bekerja. Bagian terakhir menunjukkan cara memeriksa cakupan angka sebelum Anda memakainya.</w:t>
      </w:r>
    </w:p>
    <w:p>
      <w:pPr>
        <w:pStyle w:val="BlockText"/>
      </w:pPr>
      <w:r>
        <w:rPr>
          <w:b/>
          <w:bCs/>
        </w:rPr>
        <w:t xml:space="preserve">Ringkasnya:</w:t>
      </w:r>
      <w:r>
        <w:t xml:space="preserve"> </w:t>
      </w:r>
      <w:r>
        <w:t xml:space="preserve">Pembiayaan infrastruktur adalah keseluruhan cara mendanai pembangunan dan pengoperasian aset publik berumur panjang, seperti jalan, air minum, energi, dan telekomunikasi, dengan menggabungkan APBN, APBD, penugasan BUMN, serta dana badan usaha dan pasar keuangan, karena anggaran pemerintah diperkirakan hanya menutup sekitar 40 persen kebutuhan investasi infrastruktur pada siklus RPJMN 2025–2029.</w:t>
      </w:r>
    </w:p>
    <w:bookmarkStart w:id="18" w:name="X7394299afe6250de72eb2833bafe9bd9e865d0b"/>
    <w:p>
      <w:pPr>
        <w:pStyle w:val="Heading2"/>
      </w:pPr>
      <w:r>
        <w:t xml:space="preserve">Apa itu pembiayaan infrastruktur dan mengapa APBN tidak cukup?</w:t>
      </w:r>
    </w:p>
    <w:p>
      <w:pPr>
        <w:pStyle w:val="FirstParagraph"/>
      </w:pPr>
      <w:r>
        <w:t xml:space="preserve">Pembiayaan infrastruktur adalah mekanisme menalangi biaya aset publik yang besar di muka namun baru kembali dalam puluhan tahun. APBN tidak cukup karena siklusnya tahunan, sementara satu ruas tol atau satu sistem penyediaan air minum menuntut komitmen dana lintas belasan tahun. Pada RPJMN 2025–2029, anggaran pemerintah dilaporkan hanya menutup sekitar 40 persen kebutuhan.</w:t>
      </w:r>
    </w:p>
    <w:p>
      <w:pPr>
        <w:pStyle w:val="BodyText"/>
      </w:pPr>
      <w:r>
        <w:t xml:space="preserve">Satu pembedaan sering tertukar dan menentukan seluruh percakapan berikutnya.</w:t>
      </w:r>
      <w:r>
        <w:t xml:space="preserve"> </w:t>
      </w:r>
      <w:r>
        <w:rPr>
          <w:i/>
          <w:iCs/>
        </w:rPr>
        <w:t xml:space="preserve">Funding</w:t>
      </w:r>
      <w:r>
        <w:t xml:space="preserve"> </w:t>
      </w:r>
      <w:r>
        <w:t xml:space="preserve">(pendanaan) menjawab dari mana sumber pengembalian akhir berasal: pembayar pajak lewat APBN, atau pengguna lewat tarif.</w:t>
      </w:r>
      <w:r>
        <w:t xml:space="preserve"> </w:t>
      </w:r>
      <w:r>
        <w:rPr>
          <w:i/>
          <w:iCs/>
        </w:rPr>
        <w:t xml:space="preserve">Financing</w:t>
      </w:r>
      <w:r>
        <w:t xml:space="preserve"> </w:t>
      </w:r>
      <w:r>
        <w:t xml:space="preserve">(pembiayaan) menjawab siapa yang menalangi uangnya di depan, sebelum proyek menghasilkan rupiah pertamanya. Proyek berskema</w:t>
      </w:r>
      <w:r>
        <w:t xml:space="preserve"> </w:t>
      </w:r>
      <w:r>
        <w:rPr>
          <w:i/>
          <w:iCs/>
        </w:rPr>
        <w:t xml:space="preserve">Availability Payment</w:t>
      </w:r>
      <w:r>
        <w:t xml:space="preserve"> </w:t>
      </w:r>
      <w:r>
        <w:t xml:space="preserve">pada akhirnya tetap didanai anggaran lewat pembayaran ketersediaan layanan, meski dibiayai di muka oleh bank dan sponsor swasta. Menarik swasta masuk karena itu tidak otomatis berarti beban negara hilang; kadang yang berpindah hanyalah waktu pembayarannya.</w:t>
      </w:r>
    </w:p>
    <w:p>
      <w:pPr>
        <w:pStyle w:val="BodyText"/>
      </w:pPr>
      <w:r>
        <w:t xml:space="preserve">Sisi kebutuhannya konkret. Data BPS 2023 mencatat 77,36 persen rumah tangga Indonesia memiliki akses air minum layak, artinya lebih dari seperlima rumah tangga masih di luar jangkauan satu layanan dasar saja.</w:t>
      </w:r>
    </w:p>
    <w:bookmarkEnd w:id="18"/>
    <w:bookmarkStart w:id="20" w:name="X5f2154a595970495ee6ebe0c207cfa20bd896e7"/>
    <w:p>
      <w:pPr>
        <w:pStyle w:val="Heading2"/>
      </w:pPr>
      <w:r>
        <w:t xml:space="preserve">Peta sumber dana pada siklus RPJMN 2025–2029</w:t>
      </w:r>
    </w:p>
    <w:p>
      <w:pPr>
        <w:pStyle w:val="FirstParagraph"/>
      </w:pPr>
      <w:r>
        <w:t xml:space="preserve">Kebutuhan investasi infrastruktur pada Rencana Pembangunan Jangka Menengah Nasional (RPJMN) 2025–2029 dilaporkan sekitar USD 625,37 miliar, setara Rp 10.146 hingga Rp 10.303 triliun tergantung asumsi kurs. APBN dan APBD bersama-sama diperkirakan menutup sekitar 40 persen, sedangkan sekitar 60 persen sisanya diharapkan datang dari BUMN dan badan usaha swasta.</w:t>
      </w:r>
    </w:p>
    <w:p>
      <w:pPr>
        <w:pStyle w:val="BodyText"/>
      </w:pPr>
      <w:r>
        <w:rPr>
          <w:i/>
          <w:iCs/>
        </w:rPr>
        <w:t xml:space="preserve">Tabel 1: Komposisi sumber dana kebutuhan investasi infrastruktur, siklus RPJMN 2025–2029; seluruh porsi di bawah ini dilaporkan sekitar Juni 2025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Sumber</w:t>
            </w:r>
          </w:p>
        </w:tc>
        <w:tc>
          <w:tcPr/>
          <w:p>
            <w:pPr>
              <w:pStyle w:val="Compact"/>
            </w:pPr>
            <w:r>
              <w:t xml:space="preserve">Porsi</w:t>
            </w:r>
          </w:p>
        </w:tc>
        <w:tc>
          <w:tcPr/>
          <w:p>
            <w:pPr>
              <w:pStyle w:val="Compact"/>
            </w:pPr>
            <w:r>
              <w:t xml:space="preserve">Catatan</w:t>
            </w:r>
          </w:p>
        </w:tc>
      </w:tr>
      <w:tr>
        <w:tc>
          <w:tcPr/>
          <w:p>
            <w:pPr>
              <w:pStyle w:val="Compact"/>
            </w:pPr>
            <w:r>
              <w:t xml:space="preserve">APBN</w:t>
            </w:r>
          </w:p>
        </w:tc>
        <w:tc>
          <w:tcPr/>
          <w:p>
            <w:pPr>
              <w:pStyle w:val="Compact"/>
            </w:pPr>
            <w:r>
              <w:t xml:space="preserve">≈23% (≈USD 143,84 miliar)</w:t>
            </w:r>
          </w:p>
        </w:tc>
        <w:tc>
          <w:tcPr/>
          <w:p>
            <w:pPr>
              <w:pStyle w:val="Compact"/>
            </w:pPr>
            <w:r>
              <w:t xml:space="preserve">Belanja langsung pemerintah pusat</w:t>
            </w:r>
          </w:p>
        </w:tc>
      </w:tr>
      <w:tr>
        <w:tc>
          <w:tcPr/>
          <w:p>
            <w:pPr>
              <w:pStyle w:val="Compact"/>
            </w:pPr>
            <w:r>
              <w:t xml:space="preserve">APBD</w:t>
            </w:r>
          </w:p>
        </w:tc>
        <w:tc>
          <w:tcPr/>
          <w:p>
            <w:pPr>
              <w:pStyle w:val="Compact"/>
            </w:pPr>
            <w:r>
              <w:t xml:space="preserve">≈17% (≈USD 104–106 miliar)</w:t>
            </w:r>
          </w:p>
        </w:tc>
        <w:tc>
          <w:tcPr/>
          <w:p>
            <w:pPr>
              <w:pStyle w:val="Compact"/>
            </w:pPr>
            <w:r>
              <w:t xml:space="preserve">Dua versi angka beredar, belum terselesaikan</w:t>
            </w:r>
          </w:p>
        </w:tc>
      </w:tr>
      <w:tr>
        <w:tc>
          <w:tcPr/>
          <w:p>
            <w:pPr>
              <w:pStyle w:val="Compact"/>
            </w:pPr>
            <w:r>
              <w:rPr>
                <w:b/>
                <w:bCs/>
              </w:rPr>
              <w:t xml:space="preserve">Pemerintah (APBN + APBD)</w:t>
            </w:r>
          </w:p>
        </w:tc>
        <w:tc>
          <w:tcPr/>
          <w:p>
            <w:pPr>
              <w:pStyle w:val="Compact"/>
            </w:pPr>
            <w:r>
              <w:rPr>
                <w:b/>
                <w:bCs/>
              </w:rPr>
              <w:t xml:space="preserve">≈40%</w:t>
            </w:r>
          </w:p>
        </w:tc>
        <w:tc>
          <w:tcPr/>
          <w:p>
            <w:pPr>
              <w:pStyle w:val="Compact"/>
            </w:pPr>
            <w:r>
              <w:t xml:space="preserve">Framing teraman: kedua versi APBD membulat ke porsi ini</w:t>
            </w:r>
          </w:p>
        </w:tc>
      </w:tr>
      <w:tr>
        <w:tc>
          <w:tcPr/>
          <w:p>
            <w:pPr>
              <w:pStyle w:val="Compact"/>
            </w:pPr>
            <w:r>
              <w:t xml:space="preserve">BUMN</w:t>
            </w:r>
          </w:p>
        </w:tc>
        <w:tc>
          <w:tcPr/>
          <w:p>
            <w:pPr>
              <w:pStyle w:val="Compact"/>
            </w:pPr>
            <w:r>
              <w:t xml:space="preserve">≈30%</w:t>
            </w:r>
          </w:p>
        </w:tc>
        <w:tc>
          <w:tcPr/>
          <w:p>
            <w:pPr>
              <w:pStyle w:val="Compact"/>
            </w:pPr>
            <w:r>
              <w:t xml:space="preserve">Termasuk proyek penugasan</w:t>
            </w:r>
          </w:p>
        </w:tc>
      </w:tr>
      <w:tr>
        <w:tc>
          <w:tcPr/>
          <w:p>
            <w:pPr>
              <w:pStyle w:val="Compact"/>
            </w:pPr>
            <w:r>
              <w:t xml:space="preserve">Badan usaha swasta</w:t>
            </w:r>
          </w:p>
        </w:tc>
        <w:tc>
          <w:tcPr/>
          <w:p>
            <w:pPr>
              <w:pStyle w:val="Compact"/>
            </w:pPr>
            <w:r>
              <w:t xml:space="preserve">≈30%</w:t>
            </w:r>
          </w:p>
        </w:tc>
        <w:tc>
          <w:tcPr/>
          <w:p>
            <w:pPr>
              <w:pStyle w:val="Compact"/>
            </w:pPr>
            <w:r>
              <w:t xml:space="preserve">Umumnya lewat skema kerja sama</w:t>
            </w:r>
          </w:p>
        </w:tc>
      </w:tr>
      <w:tr>
        <w:tc>
          <w:tcPr/>
          <w:p>
            <w:pPr>
              <w:pStyle w:val="Compact"/>
            </w:pPr>
            <w:r>
              <w:rPr>
                <w:b/>
                <w:bCs/>
              </w:rPr>
              <w:t xml:space="preserve">Total kebutuhan</w:t>
            </w:r>
          </w:p>
        </w:tc>
        <w:tc>
          <w:tcPr/>
          <w:p>
            <w:pPr>
              <w:pStyle w:val="Compact"/>
            </w:pPr>
            <w:r>
              <w:rPr>
                <w:b/>
                <w:bCs/>
              </w:rPr>
              <w:t xml:space="preserve">USD 625,37 miliar</w:t>
            </w:r>
          </w:p>
        </w:tc>
        <w:tc>
          <w:tcPr/>
          <w:p>
            <w:pPr>
              <w:pStyle w:val="Compact"/>
            </w:pPr>
            <w:r>
              <w:t xml:space="preserve">≈Rp 10.146–10.303 triliun, tergantung asumsi kurs</w:t>
            </w:r>
          </w:p>
        </w:tc>
      </w:tr>
    </w:tbl>
    <w:p>
      <w:pPr>
        <w:pStyle w:val="BodyText"/>
      </w:pPr>
      <w:r>
        <w:t xml:space="preserve">Bandingkan dengan siklus dua periode sebelumnya. Pada RPJMN 2015–2019, kebutuhan investasi infrastruktur tercatat Rp 4.769 triliun dengan komposisi 41,3 persen APBN dan APBD, 22,2 persen BUMN, serta 36,5 persen partisipasi swasta (</w:t>
      </w:r>
      <w:hyperlink r:id="rId19">
        <w:r>
          <w:rPr>
            <w:rStyle w:val="Hyperlink"/>
          </w:rPr>
          <w:t xml:space="preserve">Direktorat Jenderal Kekayaan Negara, Kementerian Keuangan</w:t>
        </w:r>
      </w:hyperlink>
      <w:r>
        <w:t xml:space="preserve">, mengutip Kompas 27 Agustus 2018). Angka itu historis, bukan posisi hari ini. Yang bergeser antar siklus bukan porsi pemerintah, yang hanya turun tipis ke sekitar 40 persen, melainkan skalanya: secara nominal rupiah dan tanpa penyesuaian inflasi, nilai yang harus ditutup pihak non-pemerintah kira-kira dua kali lipat siklus 2015–2019.</w:t>
      </w:r>
    </w:p>
    <w:bookmarkEnd w:id="20"/>
    <w:bookmarkStart w:id="25" w:name="Xdf7612389b0614f669779d1f35101f36af6693d"/>
    <w:p>
      <w:pPr>
        <w:pStyle w:val="Heading2"/>
      </w:pPr>
      <w:r>
        <w:t xml:space="preserve">Siapa yang membiayai sisanya jika anggaran pemerintah hanya menutup sekitar 40 persen?</w:t>
      </w:r>
    </w:p>
    <w:p>
      <w:pPr>
        <w:pStyle w:val="FirstParagraph"/>
      </w:pPr>
      <w:r>
        <w:t xml:space="preserve">Sisanya ditutup empat kelompok pemain: BUMN yang menerima penugasan, badan usaha swasta lewat skema kerja sama, pemberi pinjaman berupa perbankan dan pasar modal, serta lembaga pembiayaan khusus dan mitra multilateral. Pada proyek kerja sama, sekitar 70 sampai 80 persen biaya proyek lazim berasal dari utang (</w:t>
      </w:r>
      <w:hyperlink r:id="rId21">
        <w:r>
          <w:rPr>
            <w:rStyle w:val="Hyperlink"/>
          </w:rPr>
          <w:t xml:space="preserve">Kantor Bersama KPBU, Kementerian Keuangan</w:t>
        </w:r>
      </w:hyperlink>
      <w:r>
        <w:t xml:space="preserve">, 2026).</w:t>
      </w:r>
    </w:p>
    <w:p>
      <w:pPr>
        <w:pStyle w:val="BodyText"/>
      </w:pPr>
      <w:r>
        <w:t xml:space="preserve">Uangnya tidak mengalir langsung dari investor ke proyek. Pada</w:t>
      </w:r>
      <w:r>
        <w:t xml:space="preserve"> </w:t>
      </w:r>
      <w:hyperlink r:id="rId22">
        <w:r>
          <w:rPr>
            <w:rStyle w:val="Hyperlink"/>
          </w:rPr>
          <w:t xml:space="preserve">skema KPBU</w:t>
        </w:r>
      </w:hyperlink>
      <w:r>
        <w:t xml:space="preserve"> </w:t>
      </w:r>
      <w:r>
        <w:t xml:space="preserve">(</w:t>
      </w:r>
      <w:r>
        <w:rPr>
          <w:i/>
          <w:iCs/>
        </w:rPr>
        <w:t xml:space="preserve">Kerja Sama Pemerintah dengan Badan Usaha</w:t>
      </w:r>
      <w:r>
        <w:t xml:space="preserve">), pembiayaan disalurkan lewat badan usaha pelaksana atau</w:t>
      </w:r>
      <w:r>
        <w:t xml:space="preserve"> </w:t>
      </w:r>
      <w:r>
        <w:rPr>
          <w:i/>
          <w:iCs/>
        </w:rPr>
        <w:t xml:space="preserve">special purpose vehicle</w:t>
      </w:r>
      <w:r>
        <w:t xml:space="preserve"> </w:t>
      </w:r>
      <w:r>
        <w:t xml:space="preserve">yang dibentuk khusus untuk satu proyek. Pada struktur</w:t>
      </w:r>
      <w:r>
        <w:t xml:space="preserve"> </w:t>
      </w:r>
      <w:r>
        <w:rPr>
          <w:i/>
          <w:iCs/>
        </w:rPr>
        <w:t xml:space="preserve">project financing</w:t>
      </w:r>
      <w:r>
        <w:t xml:space="preserve"> </w:t>
      </w:r>
      <w:r>
        <w:t xml:space="preserve">seperti ini,</w:t>
      </w:r>
      <w:r>
        <w:t xml:space="preserve"> </w:t>
      </w:r>
      <w:r>
        <w:rPr>
          <w:i/>
          <w:iCs/>
        </w:rPr>
        <w:t xml:space="preserve">lender</w:t>
      </w:r>
      <w:r>
        <w:t xml:space="preserve"> </w:t>
      </w:r>
      <w:r>
        <w:t xml:space="preserve">menilai proyeksi arus kas proyek itu, bukan neraca sponsornya. Investor asing dan lembaga multilateral mengenalnya sebagai</w:t>
      </w:r>
      <w:r>
        <w:t xml:space="preserve"> </w:t>
      </w:r>
      <w:hyperlink r:id="rId23">
        <w:r>
          <w:rPr>
            <w:rStyle w:val="Hyperlink"/>
          </w:rPr>
          <w:t xml:space="preserve">public private partnership</w:t>
        </w:r>
      </w:hyperlink>
      <w:r>
        <w:t xml:space="preserve">.</w:t>
      </w:r>
    </w:p>
    <w:p>
      <w:pPr>
        <w:pStyle w:val="BodyText"/>
      </w:pPr>
      <w:r>
        <w:t xml:space="preserve">Peran lembaga di ekosistem ini kerap tertukar, padahal garis antara membiayai dan menjamin tajam:</w:t>
      </w:r>
    </w:p>
    <w:p>
      <w:pPr>
        <w:pStyle w:val="Compact"/>
        <w:numPr>
          <w:ilvl w:val="0"/>
          <w:numId w:val="1001"/>
        </w:numPr>
      </w:pPr>
      <w:r>
        <w:rPr>
          <w:b/>
          <w:bCs/>
        </w:rPr>
        <w:t xml:space="preserve">PT Sarana Multi Infrastruktur (PT SMI)</w:t>
      </w:r>
      <w:r>
        <w:t xml:space="preserve">, berdiri Februari 2009: menyalurkan pembiayaan dan investasi langsung ke proyek.</w:t>
      </w:r>
    </w:p>
    <w:p>
      <w:pPr>
        <w:pStyle w:val="Compact"/>
        <w:numPr>
          <w:ilvl w:val="0"/>
          <w:numId w:val="1001"/>
        </w:numPr>
      </w:pPr>
      <w:r>
        <w:rPr>
          <w:b/>
          <w:bCs/>
        </w:rPr>
        <w:t xml:space="preserve">PT Indonesia Infrastructure Finance (PT IIF)</w:t>
      </w:r>
      <w:r>
        <w:t xml:space="preserve">, berdiri Agustus 2010 dan diawasi OJK: membiayai serta mengelola investasi infrastruktur. Per Desember 2025, IIF melaporkan komitmen investasi kumulatif Rp 12,82 triliun (</w:t>
      </w:r>
      <w:hyperlink r:id="rId24">
        <w:r>
          <w:rPr>
            <w:rStyle w:val="Hyperlink"/>
          </w:rPr>
          <w:t xml:space="preserve">iif.co.id</w:t>
        </w:r>
      </w:hyperlink>
      <w:r>
        <w:t xml:space="preserve">, diakses 2026).</w:t>
      </w:r>
    </w:p>
    <w:p>
      <w:pPr>
        <w:pStyle w:val="Compact"/>
        <w:numPr>
          <w:ilvl w:val="0"/>
          <w:numId w:val="1001"/>
        </w:numPr>
      </w:pPr>
      <w:r>
        <w:rPr>
          <w:b/>
          <w:bCs/>
        </w:rPr>
        <w:t xml:space="preserve">LPEI / Indonesia Eximbank</w:t>
      </w:r>
      <w:r>
        <w:t xml:space="preserve">: mandat utamanya pembiayaan dan penjaminan ekspor, bukan pembiayaan infrastruktur umum.</w:t>
      </w:r>
    </w:p>
    <w:p>
      <w:pPr>
        <w:pStyle w:val="Compact"/>
        <w:numPr>
          <w:ilvl w:val="0"/>
          <w:numId w:val="1001"/>
        </w:numPr>
      </w:pPr>
      <w:r>
        <w:rPr>
          <w:b/>
          <w:bCs/>
        </w:rPr>
        <w:t xml:space="preserve">PT Penjaminan Infrastruktur Indonesia (PT PII)</w:t>
      </w:r>
      <w:r>
        <w:t xml:space="preserve">, berdiri 30 Desember 2009: menerbitkan penjaminan pemerintah atas risiko sisi pemerintah dalam kontrak kerja sama, dan tidak menyalurkan pinjaman maupun modal.</w:t>
      </w:r>
    </w:p>
    <w:p>
      <w:pPr>
        <w:pStyle w:val="FirstParagraph"/>
      </w:pPr>
      <w:r>
        <w:t xml:space="preserve">Perbedaan terakhir bukan kehalusan bahasa. Penjamin tidak mengucurkan dana; kewajibannya baru muncul bila klaim benar-benar terjadi. Menghitungnya sebagai sumber dana membuat seluruh peta pembiayaan meleset.</w:t>
      </w:r>
    </w:p>
    <w:bookmarkEnd w:id="25"/>
    <w:bookmarkStart w:id="26" w:name="X8d2fa3cf5292a868492d4d16b6424977d71e3c5"/>
    <w:p>
      <w:pPr>
        <w:pStyle w:val="Heading2"/>
      </w:pPr>
      <w:r>
        <w:t xml:space="preserve">Di titik mana instrumen fiskal negara masuk ke dalam peta ini</w:t>
      </w:r>
    </w:p>
    <w:p>
      <w:pPr>
        <w:pStyle w:val="FirstParagraph"/>
      </w:pPr>
      <w:r>
        <w:t xml:space="preserve">Negara tidak hanya hadir lewat belanja langsung. Tiga bentuk keterlibatan fiskal bekerja tanpa menambah pos belanja modal: fasilitas penyiapan proyek, dukungan kelayakan atas sebagian biaya konstruksi, dan penjaminan atas risiko sisi pemerintah. Ketiganya kini berada di bawah satu payung, yaitu PMK No. 68 Tahun 2024, yang berlaku sejak 18 Oktober 2024.</w:t>
      </w:r>
    </w:p>
    <w:p>
      <w:pPr>
        <w:pStyle w:val="Compact"/>
        <w:numPr>
          <w:ilvl w:val="0"/>
          <w:numId w:val="1002"/>
        </w:numPr>
      </w:pPr>
      <w:r>
        <w:rPr>
          <w:b/>
          <w:bCs/>
        </w:rPr>
        <w:t xml:space="preserve">Fasilitas penyiapan proyek.</w:t>
      </w:r>
      <w:r>
        <w:t xml:space="preserve"> </w:t>
      </w:r>
      <w:r>
        <w:t xml:space="preserve">Membiayai kajian kelayakan, struktur transaksi, dan dokumen lelang. Banyak proyek berhenti di sini, bukan karena tidak ada peminat, melainkan karena dokumennya belum sanggup diuji</w:t>
      </w:r>
      <w:r>
        <w:t xml:space="preserve"> </w:t>
      </w:r>
      <w:r>
        <w:rPr>
          <w:i/>
          <w:iCs/>
        </w:rPr>
        <w:t xml:space="preserve">lender</w:t>
      </w:r>
      <w:r>
        <w:t xml:space="preserve">.</w:t>
      </w:r>
    </w:p>
    <w:p>
      <w:pPr>
        <w:pStyle w:val="Compact"/>
        <w:numPr>
          <w:ilvl w:val="0"/>
          <w:numId w:val="1002"/>
        </w:numPr>
      </w:pPr>
      <w:r>
        <w:rPr>
          <w:b/>
          <w:bCs/>
        </w:rPr>
        <w:t xml:space="preserve">Dukungan kelayakan (</w:t>
      </w:r>
      <w:r>
        <w:rPr>
          <w:b/>
          <w:bCs/>
          <w:i/>
          <w:iCs/>
        </w:rPr>
        <w:t xml:space="preserve">Viability Gap Fund</w:t>
      </w:r>
      <w:r>
        <w:rPr>
          <w:b/>
          <w:bCs/>
        </w:rPr>
        <w:t xml:space="preserve">).</w:t>
      </w:r>
      <w:r>
        <w:t xml:space="preserve"> </w:t>
      </w:r>
      <w:r>
        <w:t xml:space="preserve">Kontribusi tunai atas sebagian biaya konstruksi, untuk proyek yang manfaat ekonominya tinggi tetapi arus kasnya tipis.</w:t>
      </w:r>
    </w:p>
    <w:p>
      <w:pPr>
        <w:pStyle w:val="Compact"/>
        <w:numPr>
          <w:ilvl w:val="0"/>
          <w:numId w:val="1002"/>
        </w:numPr>
      </w:pPr>
      <w:r>
        <w:rPr>
          <w:b/>
          <w:bCs/>
        </w:rPr>
        <w:t xml:space="preserve">Penjaminan pemerintah.</w:t>
      </w:r>
      <w:r>
        <w:t xml:space="preserve"> </w:t>
      </w:r>
      <w:r>
        <w:t xml:space="preserve">Bukan aliran dana, melainkan janji bersyarat: negara menanggung konsekuensi finansial bila risiko sisi pemerintah, misalnya keterlambatan perizinan atau pengakhiran kontrak akibat tindakan pemerintah, benar-benar terjadi.</w:t>
      </w:r>
    </w:p>
    <w:p>
      <w:pPr>
        <w:pStyle w:val="FirstParagraph"/>
      </w:pPr>
      <w:r>
        <w:t xml:space="preserve">Instrumen ketiga bekerja pada harga, bukan volume dana. Penjaminan menurunkan persepsi risiko</w:t>
      </w:r>
      <w:r>
        <w:t xml:space="preserve"> </w:t>
      </w:r>
      <w:r>
        <w:rPr>
          <w:i/>
          <w:iCs/>
        </w:rPr>
        <w:t xml:space="preserve">lender</w:t>
      </w:r>
      <w:r>
        <w:t xml:space="preserve"> </w:t>
      </w:r>
      <w:r>
        <w:t xml:space="preserve">dan menaikkan</w:t>
      </w:r>
      <w:r>
        <w:t xml:space="preserve"> </w:t>
      </w:r>
      <w:r>
        <w:rPr>
          <w:i/>
          <w:iCs/>
        </w:rPr>
        <w:t xml:space="preserve">bankability</w:t>
      </w:r>
      <w:r>
        <w:t xml:space="preserve"> </w:t>
      </w:r>
      <w:r>
        <w:t xml:space="preserve">(kelayakan proyek untuk dibiayai), sehingga menekan biaya dana yang diminta bank (Kantor Bersama KPBU, Kementerian Keuangan, 2026). Batasnya harus jelas sejak awal: yang ditutup risiko sisi pemerintah, bukan risiko komersial badan usaha.</w:t>
      </w:r>
    </w:p>
    <w:bookmarkEnd w:id="26"/>
    <w:bookmarkStart w:id="27" w:name="X4beb0d2baae91e52070cb9bbbbf69ba2cd52b5b"/>
    <w:p>
      <w:pPr>
        <w:pStyle w:val="Heading2"/>
      </w:pPr>
      <w:r>
        <w:t xml:space="preserve">Mengapa angka funding gap berbeda-beda antar sumber, dan cara membacanya</w:t>
      </w:r>
    </w:p>
    <w:p>
      <w:pPr>
        <w:pStyle w:val="FirstParagraph"/>
      </w:pPr>
      <w:r>
        <w:t xml:space="preserve">Angka</w:t>
      </w:r>
      <w:r>
        <w:t xml:space="preserve"> </w:t>
      </w:r>
      <w:r>
        <w:rPr>
          <w:i/>
          <w:iCs/>
        </w:rPr>
        <w:t xml:space="preserve">funding gap</w:t>
      </w:r>
      <w:r>
        <w:t xml:space="preserve"> </w:t>
      </w:r>
      <w:r>
        <w:t xml:space="preserve">infrastruktur tampak saling bertentangan karena tiga sebab: cakupan yang berbeda (seluruh infrastruktur, satu kementerian, atau seluruh perekonomian), asumsi kurs yang menggeser padanan rupiah dari basis dolar yang sama, dan definisi</w:t>
      </w:r>
      <w:r>
        <w:t xml:space="preserve"> </w:t>
      </w:r>
      <w:r>
        <w:t xml:space="preserve">“infrastruktur”</w:t>
      </w:r>
      <w:r>
        <w:t xml:space="preserve"> </w:t>
      </w:r>
      <w:r>
        <w:t xml:space="preserve">yang elastis. Sebelum memakai sebuah angka, tanyakan cakupan dan periodenya, bukan hanya besarannya.</w:t>
      </w:r>
    </w:p>
    <w:p>
      <w:pPr>
        <w:pStyle w:val="BodyText"/>
      </w:pPr>
      <w:r>
        <w:rPr>
          <w:i/>
          <w:iCs/>
        </w:rPr>
        <w:t xml:space="preserve">Tabel 2: Tiga angka yang sering tertukar, periksa cakupannya lebih dulu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Angka</w:t>
            </w:r>
          </w:p>
        </w:tc>
        <w:tc>
          <w:tcPr/>
          <w:p>
            <w:pPr>
              <w:pStyle w:val="Compact"/>
            </w:pPr>
            <w:r>
              <w:t xml:space="preserve">Cakupan</w:t>
            </w:r>
          </w:p>
        </w:tc>
        <w:tc>
          <w:tcPr/>
          <w:p>
            <w:pPr>
              <w:pStyle w:val="Compact"/>
            </w:pPr>
            <w:r>
              <w:t xml:space="preserve">Periode dan atribusi</w:t>
            </w:r>
          </w:p>
        </w:tc>
      </w:tr>
      <w:tr>
        <w:tc>
          <w:tcPr/>
          <w:p>
            <w:pPr>
              <w:pStyle w:val="Compact"/>
            </w:pPr>
            <w:r>
              <w:t xml:space="preserve">≈USD 625,37 miliar (≈Rp 10.146–10.303 triliun)</w:t>
            </w:r>
          </w:p>
        </w:tc>
        <w:tc>
          <w:tcPr/>
          <w:p>
            <w:pPr>
              <w:pStyle w:val="Compact"/>
            </w:pPr>
            <w:r>
              <w:t xml:space="preserve">Kebutuhan investasi</w:t>
            </w:r>
            <w:r>
              <w:t xml:space="preserve"> </w:t>
            </w:r>
            <w:r>
              <w:rPr>
                <w:b/>
                <w:bCs/>
              </w:rPr>
              <w:t xml:space="preserve">infrastruktur</w:t>
            </w:r>
            <w:r>
              <w:t xml:space="preserve"> </w:t>
            </w:r>
            <w:r>
              <w:t xml:space="preserve">seluruh Indonesia</w:t>
            </w:r>
          </w:p>
        </w:tc>
        <w:tc>
          <w:tcPr/>
          <w:p>
            <w:pPr>
              <w:pStyle w:val="Compact"/>
            </w:pPr>
            <w:r>
              <w:t xml:space="preserve">RPJMN 2025–2029; dilaporkan sekitar Juni 2025</w:t>
            </w:r>
          </w:p>
        </w:tc>
      </w:tr>
      <w:tr>
        <w:tc>
          <w:tcPr/>
          <w:p>
            <w:pPr>
              <w:pStyle w:val="Compact"/>
            </w:pPr>
            <w:r>
              <w:t xml:space="preserve">Rp 1.905,3 triliun kebutuhan,</w:t>
            </w:r>
            <w:r>
              <w:t xml:space="preserve"> </w:t>
            </w:r>
            <w:r>
              <w:rPr>
                <w:i/>
                <w:iCs/>
              </w:rPr>
              <w:t xml:space="preserve">gap</w:t>
            </w:r>
            <w:r>
              <w:t xml:space="preserve"> </w:t>
            </w:r>
            <w:r>
              <w:t xml:space="preserve">Rp 753,11 triliun</w:t>
            </w:r>
          </w:p>
        </w:tc>
        <w:tc>
          <w:tcPr/>
          <w:p>
            <w:pPr>
              <w:pStyle w:val="Compact"/>
            </w:pPr>
            <w:r>
              <w:t xml:space="preserve">Portofolio</w:t>
            </w:r>
            <w:r>
              <w:t xml:space="preserve"> </w:t>
            </w:r>
            <w:r>
              <w:rPr>
                <w:b/>
                <w:bCs/>
              </w:rPr>
              <w:t xml:space="preserve">Kementerian PU sendiri</w:t>
            </w:r>
            <w:r>
              <w:t xml:space="preserve">, mandat lebih sempit sejak pemisahan dari bekas PUPR pada Oktober 2024</w:t>
            </w:r>
          </w:p>
        </w:tc>
        <w:tc>
          <w:tcPr/>
          <w:p>
            <w:pPr>
              <w:pStyle w:val="Compact"/>
            </w:pPr>
            <w:r>
              <w:t xml:space="preserve">RPJMN 2025–2029; dilaporkan Kementerian PU, bukan total nasional</w:t>
            </w:r>
          </w:p>
        </w:tc>
      </w:tr>
      <w:tr>
        <w:tc>
          <w:tcPr/>
          <w:p>
            <w:pPr>
              <w:pStyle w:val="Compact"/>
            </w:pPr>
            <w:r>
              <w:t xml:space="preserve">Rp 47.587,3 triliun</w:t>
            </w:r>
          </w:p>
        </w:tc>
        <w:tc>
          <w:tcPr/>
          <w:p>
            <w:pPr>
              <w:pStyle w:val="Compact"/>
            </w:pPr>
            <w:r>
              <w:t xml:space="preserve">Kebutuhan investasi</w:t>
            </w:r>
            <w:r>
              <w:t xml:space="preserve"> </w:t>
            </w:r>
            <w:r>
              <w:rPr>
                <w:b/>
                <w:bCs/>
              </w:rPr>
              <w:t xml:space="preserve">seluruh sektor perekonomian</w:t>
            </w:r>
            <w:r>
              <w:t xml:space="preserve">, bukan infrastruktur saja, untuk target pertumbuhan 8 persen</w:t>
            </w:r>
          </w:p>
        </w:tc>
        <w:tc>
          <w:tcPr/>
          <w:p>
            <w:pPr>
              <w:pStyle w:val="Compact"/>
            </w:pPr>
            <w:r>
              <w:t xml:space="preserve">Dilaporkan ANTARA, 19 Desember 2024, mengutip Bappenas</w:t>
            </w:r>
          </w:p>
        </w:tc>
      </w:tr>
    </w:tbl>
    <w:p>
      <w:pPr>
        <w:pStyle w:val="BodyText"/>
      </w:pPr>
      <w:r>
        <w:t xml:space="preserve">Baris ketiga adalah sumber kekeliruan paling sering. Angka Rp 47.587,3 triliun beredar bersama komposisi 86,65 persen swasta, 7,22 persen pemerintah, dan 6,13 persen BUMN, sebagaimana dilaporkan ANTARA pada 19 Desember 2024 mengutip Bappenas. Komposisi itu melekat pada kebutuhan seluruh perekonomian, bukan pada infrastruktur.</w:t>
      </w:r>
    </w:p>
    <w:p>
      <w:pPr>
        <w:pStyle w:val="BodyText"/>
      </w:pPr>
      <w:r>
        <w:t xml:space="preserve">Menempelkannya ke angka infrastruktur melahirkan kesimpulan yang tidak pernah dinyatakan dokumen perencanaan mana pun: bahwa swasta seharusnya menanggung hampir sembilan dari sepuluh rupiah pembangunan jalan dan air minum. Komposisi infrastruktur pada siklus berjalan justru mendekati 30 persen BUMN dan 30 persen swasta.</w:t>
      </w:r>
    </w:p>
    <w:p>
      <w:pPr>
        <w:pStyle w:val="BodyText"/>
      </w:pPr>
      <w:r>
        <w:t xml:space="preserve">Sebab kedua lebih teknis. USD 625,37 miliar dilaporkan setara Rp 10.303 triliun pada satu laporan dan Rp 10.146 triliun pada laporan lain; selisih Rp 157 triliun itu bukan revisi kebijakan, hanya asumsi kurs. Sebab ketiga jarang disebut: definisi</w:t>
      </w:r>
      <w:r>
        <w:t xml:space="preserve"> </w:t>
      </w:r>
      <w:r>
        <w:t xml:space="preserve">“infrastruktur”</w:t>
      </w:r>
      <w:r>
        <w:t xml:space="preserve"> </w:t>
      </w:r>
      <w:r>
        <w:t xml:space="preserve">sendiri elastis, dan dokumen berbeda memasukkan atau mengeluarkan energi, telekomunikasi, atau perumahan.</w:t>
      </w:r>
    </w:p>
    <w:p>
      <w:pPr>
        <w:pStyle w:val="BodyText"/>
      </w:pPr>
      <w:r>
        <w:t xml:space="preserve">Satu hal paling mudah terlewat: kebutuhan investasi bukan komitmen pendanaan. Ia menyatakan berapa yang idealnya dibelanjakan, bukan berapa yang sudah tersedia. Catat cakupan, periode, dan sumber sebuah angka dalam satu tarikan napas; tanpa ketiganya, angka itu belum layak masuk ke model keuangan.</w:t>
      </w:r>
    </w:p>
    <w:bookmarkEnd w:id="27"/>
    <w:bookmarkStart w:id="34" w:name="faq-pertanyaan-yang-sering-diajukan"/>
    <w:p>
      <w:pPr>
        <w:pStyle w:val="Heading2"/>
      </w:pPr>
      <w:r>
        <w:t xml:space="preserve">FAQ (Pertanyaan yang Sering Diajukan)</w:t>
      </w:r>
    </w:p>
    <w:bookmarkStart w:id="28" w:name="apa-itu-pembiayaan-infrastruktur"/>
    <w:p>
      <w:pPr>
        <w:pStyle w:val="Heading3"/>
      </w:pPr>
      <w:r>
        <w:t xml:space="preserve">Apa itu pembiayaan infrastruktur?</w:t>
      </w:r>
    </w:p>
    <w:p>
      <w:pPr>
        <w:pStyle w:val="FirstParagraph"/>
      </w:pPr>
      <w:r>
        <w:t xml:space="preserve">Pembiayaan infrastruktur mencakup seluruh cara mendanai pembangunan dan pengoperasian aset publik berumur panjang, dari jalan dan air minum sampai energi dan telekomunikasi. Biayanya besar di muka tetapi baru kembali dalam puluhan tahun, sehingga tidak cocok dengan siklus APBN yang tahunan. Karena itu dananya digabung dari anggaran negara, penugasan BUMN, badan usaha swasta, dan pasar keuangan.</w:t>
      </w:r>
    </w:p>
    <w:bookmarkEnd w:id="28"/>
    <w:bookmarkStart w:id="29" w:name="X3354b2a263419f5b5cf1fc3708a7b50a3ea261e"/>
    <w:p>
      <w:pPr>
        <w:pStyle w:val="Heading3"/>
      </w:pPr>
      <w:r>
        <w:t xml:space="preserve">Berapa kebutuhan investasi infrastruktur Indonesia pada RPJMN 2025–2029?</w:t>
      </w:r>
    </w:p>
    <w:p>
      <w:pPr>
        <w:pStyle w:val="FirstParagraph"/>
      </w:pPr>
      <w:r>
        <w:t xml:space="preserve">Beberapa laporan menyebut sekitar USD 625,37 miliar, setara Rp 10.146 hingga Rp 10.303 triliun tergantung asumsi kurs, dengan APBN dan APBD diperkirakan menutup sekitar 40 persen. Angka ini berbeda dari kebutuhan investasi seluruh sektor perekonomian untuk target pertumbuhan 8 persen, yang dilaporkan Rp 47.587,3 triliun (ANTARA, 19 Desember 2024).</w:t>
      </w:r>
    </w:p>
    <w:bookmarkEnd w:id="29"/>
    <w:bookmarkStart w:id="30" w:name="X8b69869351a79ce24c15431a07945cf8efeb524"/>
    <w:p>
      <w:pPr>
        <w:pStyle w:val="Heading3"/>
      </w:pPr>
      <w:r>
        <w:t xml:space="preserve">Apa saja sumber pembiayaan infrastruktur di Indonesia?</w:t>
      </w:r>
    </w:p>
    <w:p>
      <w:pPr>
        <w:pStyle w:val="FirstParagraph"/>
      </w:pPr>
      <w:r>
        <w:t xml:space="preserve">Selain APBN dan APBD, sumbernya mencakup penugasan BUMN, badan usaha swasta lewat skema KPBU, perbankan dan pinjaman sindikasi, pasar modal melalui obligasi dan sukuk, lembaga pembiayaan khusus seperti PT SMI dan PT IIF, serta mitra multilateral. Pada proyek KPBU, sekitar 70 sampai 80 persen biaya proyek lazim berasal dari utang (Kementerian Keuangan, 2026).</w:t>
      </w:r>
    </w:p>
    <w:bookmarkEnd w:id="30"/>
    <w:bookmarkStart w:id="31" w:name="Xae60ff382289dcb062574296443ea9b71171cba"/>
    <w:p>
      <w:pPr>
        <w:pStyle w:val="Heading3"/>
      </w:pPr>
      <w:r>
        <w:t xml:space="preserve">Siapa saja lembaga pembiayaan infrastruktur di Indonesia?</w:t>
      </w:r>
    </w:p>
    <w:p>
      <w:pPr>
        <w:pStyle w:val="FirstParagraph"/>
      </w:pPr>
      <w:r>
        <w:t xml:space="preserve">Ekosistemnya mencakup PT Sarana Multi Infrastruktur (berdiri Februari 2009) dan PT Indonesia Infrastructure Finance (berdiri Agustus 2010), yang menyalurkan pembiayaan serta investasi langsung ke proyek; LPEI atau Indonesia Eximbank, yang mandat utamanya pembiayaan dan penjaminan ekspor; perbankan dan pasar modal; serta mitra multilateral. Badan usaha penjaminan infrastruktur berada di kelompok berbeda: ia menerbitkan penjaminan pemerintah dan tidak menyalurkan pinjaman maupun modal.</w:t>
      </w:r>
    </w:p>
    <w:bookmarkEnd w:id="31"/>
    <w:bookmarkStart w:id="32" w:name="Xe80718368c1fcf286d95cda7f814469346a8d39"/>
    <w:p>
      <w:pPr>
        <w:pStyle w:val="Heading3"/>
      </w:pPr>
      <w:r>
        <w:t xml:space="preserve">Mengapa perekonomian tidak sepenuhnya diserahkan kepada swasta?</w:t>
      </w:r>
    </w:p>
    <w:p>
      <w:pPr>
        <w:pStyle w:val="FirstParagraph"/>
      </w:pPr>
      <w:r>
        <w:t xml:space="preserve">Infrastruktur menyediakan layanan publik yang harus tetap terjangkau dan merata, sementara sebagian proyek kurang menarik secara komersial karena pengembaliannya rendah atau lambat, misalnya jalan di wilayah terpencil dan air minum bagi warga berpenghasilan rendah. Instrumen fiskal seperti dukungan kelayakan dan penjaminan dipakai agar proyek semacam itu tetap sampai ke</w:t>
      </w:r>
      <w:r>
        <w:t xml:space="preserve"> </w:t>
      </w:r>
      <w:r>
        <w:rPr>
          <w:i/>
          <w:iCs/>
        </w:rPr>
        <w:t xml:space="preserve">financial close</w:t>
      </w:r>
      <w:r>
        <w:t xml:space="preserve">.</w:t>
      </w:r>
    </w:p>
    <w:bookmarkEnd w:id="32"/>
    <w:bookmarkStart w:id="33" w:name="X8ac93443b054ce58ef41aa96cec031d1d8f9174"/>
    <w:p>
      <w:pPr>
        <w:pStyle w:val="Heading3"/>
      </w:pPr>
      <w:r>
        <w:t xml:space="preserve">Apakah pembiayaan infrastruktur sama dengan utang negara?</w:t>
      </w:r>
    </w:p>
    <w:p>
      <w:pPr>
        <w:pStyle w:val="FirstParagraph"/>
      </w:pPr>
      <w:r>
        <w:t xml:space="preserve">Tidak sepenuhnya. Yang berkaitan langsung dengan utang dan risiko fiskal negara hanya porsi yang dibiayai APBN, ditambah kewajiban kontinjensi dari penjaminan pemerintah bila klaim benar-benar terjadi. Porsi yang didanai badan usaha swasta pada dasarnya di luar neraca pemerintah, meski BUMN penerima penugasan tetap dapat memengaruhi keuangan negara lewat Penyertaan Modal Negara (PMN).</w:t>
      </w:r>
    </w:p>
    <w:bookmarkEnd w:id="33"/>
    <w:bookmarkEnd w:id="34"/>
    <w:bookmarkStart w:id="35" w:name="kesimpulan"/>
    <w:p>
      <w:pPr>
        <w:pStyle w:val="Heading2"/>
      </w:pPr>
      <w:r>
        <w:t xml:space="preserve">Kesimpulan</w:t>
      </w:r>
    </w:p>
    <w:p>
      <w:pPr>
        <w:pStyle w:val="FirstParagraph"/>
      </w:pPr>
      <w:r>
        <w:t xml:space="preserve">Peta pembiayaan infrastruktur nasional mudah dibaca begitu cakupan angkanya jelas: sekitar 40 persen kebutuhan RPJMN 2025–2029 ditanggung anggaran negara, dan sekitar 60 persen sisanya bergantung pada apakah sebuah proyek cukup layak dibiayai di mata BUMN, bank, dan investor. Di titik itulah instrumen fiskal menentukan hasil. PT PII menempati satu kotak spesifik di peta ini selaku Badan Usaha Penjaminan Infrastruktur di bawah Kementerian Keuangan: menerbitkan penjaminan, bukan menyalurkan pinjaman, atas 61 proyek kumulatif bernilai investasi lebih dari Rp 732 triliun per Juni 2026. Membahas kelayakan proyek lebih awal umumnya jauh lebih murah daripada merevisi strukturnya setelah lelang berjalan.</w:t>
      </w:r>
    </w:p>
    <w:p>
      <w:pPr>
        <w:pStyle w:val="BodyText"/>
      </w:pPr>
      <w:r>
        <w:t xml:space="preserve">Uraian mengenai penjaminan pemerintah untuk proyek KPBU dan bentuk dukungan lain bagi penyiapan proyek dapat Anda telusuri di ptpii.co.id.</w:t>
      </w:r>
    </w:p>
    <w:bookmarkEnd w:id="35"/>
    <w:bookmarkEnd w:id="36"/>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4" Target="https://iif.co.id" TargetMode="External" /><Relationship Type="http://schemas.openxmlformats.org/officeDocument/2006/relationships/hyperlink" Id="rId21" Target="https://kpbu.kemenkeu.go.id" TargetMode="External" /><Relationship Type="http://schemas.openxmlformats.org/officeDocument/2006/relationships/hyperlink" Id="rId19" Target="https://www.djkn.kemenkeu.go.id/berita_media/baca/12715/Pendanaan-Infrastruktur.html" TargetMode="External" /><Relationship Type="http://schemas.openxmlformats.org/officeDocument/2006/relationships/hyperlink" Id="rId22" Target="https://www.ptpii.co.id/kpbu" TargetMode="External" /><Relationship Type="http://schemas.openxmlformats.org/officeDocument/2006/relationships/hyperlink" Id="rId17" Target="https://www.ptpii.co.id/pembiayaan-kreatif" TargetMode="External" /><Relationship Type="http://schemas.openxmlformats.org/officeDocument/2006/relationships/hyperlink" Id="rId23" Target="https://www.ptpii.co.id/public-private-partnership" TargetMode="External" /></Relationships>
</file>

<file path=word/_rels/footnotes.xml.rels><?xml version="1.0" encoding="UTF-8"?><Relationships xmlns="http://schemas.openxmlformats.org/package/2006/relationships"><Relationship Type="http://schemas.openxmlformats.org/officeDocument/2006/relationships/hyperlink" Id="rId24" Target="https://iif.co.id" TargetMode="External" /><Relationship Type="http://schemas.openxmlformats.org/officeDocument/2006/relationships/hyperlink" Id="rId21" Target="https://kpbu.kemenkeu.go.id" TargetMode="External" /><Relationship Type="http://schemas.openxmlformats.org/officeDocument/2006/relationships/hyperlink" Id="rId19" Target="https://www.djkn.kemenkeu.go.id/berita_media/baca/12715/Pendanaan-Infrastruktur.html" TargetMode="External" /><Relationship Type="http://schemas.openxmlformats.org/officeDocument/2006/relationships/hyperlink" Id="rId22" Target="https://www.ptpii.co.id/kpbu" TargetMode="External" /><Relationship Type="http://schemas.openxmlformats.org/officeDocument/2006/relationships/hyperlink" Id="rId17" Target="https://www.ptpii.co.id/pembiayaan-kreatif" TargetMode="External" /><Relationship Type="http://schemas.openxmlformats.org/officeDocument/2006/relationships/hyperlink" Id="rId23" Target="https://www.ptpii.co.id/public-private-partnersh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2026-08-12T09:08:34Z</dcterms:created>
  <dcterms:modified xsi:type="dcterms:W3CDTF">2026-08-12T09:08:34Z</dcterms:modified>
</cp:coreProperties>
</file>

<file path=docProps/custom.xml><?xml version="1.0" encoding="utf-8"?>
<Properties xmlns="http://schemas.openxmlformats.org/officeDocument/2006/custom-properties" xmlns:vt="http://schemas.openxmlformats.org/officeDocument/2006/docPropsVTypes"/>
</file>