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"Pembiayaan Infrastruktur: Corporate Finance atau Project Finance?"</w:t>
      </w:r>
      <w:r>
        <w:br/>
      </w:r>
      <w:r>
        <w:rPr>
          <w:rStyle w:val="FunctionTok"/>
        </w:rPr>
        <w:t xml:space="preserve">meta_title</w:t>
      </w:r>
      <w:r>
        <w:rPr>
          <w:rStyle w:val="KeywordTok"/>
        </w:rPr>
        <w:t xml:space="preserve">:</w:t>
      </w:r>
      <w:r>
        <w:rPr>
          <w:rStyle w:val="AttributeTok"/>
        </w:rPr>
        <w:t xml:space="preserve"> </w:t>
      </w:r>
      <w:r>
        <w:rPr>
          <w:rStyle w:val="StringTok"/>
        </w:rPr>
        <w:t xml:space="preserve">"Pembiayaan Infrastruktur: Corporate vs Project Finance"</w:t>
      </w:r>
      <w:r>
        <w:br/>
      </w:r>
      <w:r>
        <w:rPr>
          <w:rStyle w:val="FunctionTok"/>
        </w:rPr>
        <w:t xml:space="preserve">meta_description</w:t>
      </w:r>
      <w:r>
        <w:rPr>
          <w:rStyle w:val="KeywordTok"/>
        </w:rPr>
        <w:t xml:space="preserve">:</w:t>
      </w:r>
      <w:r>
        <w:rPr>
          <w:rStyle w:val="AttributeTok"/>
        </w:rPr>
        <w:t xml:space="preserve"> </w:t>
      </w:r>
      <w:r>
        <w:rPr>
          <w:rStyle w:val="StringTok"/>
        </w:rPr>
        <w:t xml:space="preserve">"Pembiayaan infrastruktur lewat neraca korporasi atau project finance? Bandingkan tiga jalur, komposisi utang 70–80%, dan kapan struktur ini tidak sepadan."</w:t>
      </w:r>
      <w:r>
        <w:br/>
      </w:r>
      <w:r>
        <w:rPr>
          <w:rStyle w:val="FunctionTok"/>
        </w:rPr>
        <w:t xml:space="preserve">slug</w:t>
      </w:r>
      <w:r>
        <w:rPr>
          <w:rStyle w:val="KeywordTok"/>
        </w:rPr>
        <w:t xml:space="preserve">:</w:t>
      </w:r>
      <w:r>
        <w:rPr>
          <w:rStyle w:val="AttributeTok"/>
        </w:rPr>
        <w:t xml:space="preserve"> </w:t>
      </w:r>
      <w:r>
        <w:rPr>
          <w:rStyle w:val="StringTok"/>
        </w:rPr>
        <w:t xml:space="preserve">"pembiayaan-infrastruktur-corporate-vs-project-finance"</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"pembiayaan infrastruktur"</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"project financing proyek infrastruktur"</w:t>
      </w:r>
      <w:r>
        <w:br/>
      </w:r>
      <w:r>
        <w:rPr>
          <w:rStyle w:val="AttributeTok"/>
        </w:rPr>
        <w:t xml:space="preserve">  </w:t>
      </w:r>
      <w:r>
        <w:rPr>
          <w:rStyle w:val="KeywordTok"/>
        </w:rPr>
        <w:t xml:space="preserve">-</w:t>
      </w:r>
      <w:r>
        <w:rPr>
          <w:rStyle w:val="AttributeTok"/>
        </w:rPr>
        <w:t xml:space="preserve"> </w:t>
      </w:r>
      <w:r>
        <w:rPr>
          <w:rStyle w:val="StringTok"/>
        </w:rPr>
        <w:t xml:space="preserve">"corporate financing"</w:t>
      </w:r>
      <w:r>
        <w:br/>
      </w:r>
      <w:r>
        <w:rPr>
          <w:rStyle w:val="AttributeTok"/>
        </w:rPr>
        <w:t xml:space="preserve">  </w:t>
      </w:r>
      <w:r>
        <w:rPr>
          <w:rStyle w:val="KeywordTok"/>
        </w:rPr>
        <w:t xml:space="preserve">-</w:t>
      </w:r>
      <w:r>
        <w:rPr>
          <w:rStyle w:val="AttributeTok"/>
        </w:rPr>
        <w:t xml:space="preserve"> </w:t>
      </w:r>
      <w:r>
        <w:rPr>
          <w:rStyle w:val="StringTok"/>
        </w:rPr>
        <w:t xml:space="preserve">"struktur pembiayaan proyek"</w:t>
      </w:r>
      <w:r>
        <w:br/>
      </w:r>
      <w:r>
        <w:rPr>
          <w:rStyle w:val="AttributeTok"/>
        </w:rPr>
        <w:t xml:space="preserve">  </w:t>
      </w:r>
      <w:r>
        <w:rPr>
          <w:rStyle w:val="KeywordTok"/>
        </w:rPr>
        <w:t xml:space="preserve">-</w:t>
      </w:r>
      <w:r>
        <w:rPr>
          <w:rStyle w:val="AttributeTok"/>
        </w:rPr>
        <w:t xml:space="preserve"> </w:t>
      </w:r>
      <w:r>
        <w:rPr>
          <w:rStyle w:val="StringTok"/>
        </w:rPr>
        <w:t xml:space="preserve">"Badan Usaha Pelaksana"</w:t>
      </w:r>
      <w:r>
        <w:br/>
      </w:r>
      <w:r>
        <w:rPr>
          <w:rStyle w:val="AttributeTok"/>
        </w:rPr>
        <w:t xml:space="preserve">  </w:t>
      </w:r>
      <w:r>
        <w:rPr>
          <w:rStyle w:val="KeywordTok"/>
        </w:rPr>
        <w:t xml:space="preserve">-</w:t>
      </w:r>
      <w:r>
        <w:rPr>
          <w:rStyle w:val="AttributeTok"/>
        </w:rPr>
        <w:t xml:space="preserve"> </w:t>
      </w:r>
      <w:r>
        <w:rPr>
          <w:rStyle w:val="StringTok"/>
        </w:rPr>
        <w:t xml:space="preserve">"special purpose vehicle"</w:t>
      </w:r>
      <w:r>
        <w:br/>
      </w:r>
      <w:r>
        <w:rPr>
          <w:rStyle w:val="AttributeTok"/>
        </w:rPr>
        <w:t xml:space="preserve">  </w:t>
      </w:r>
      <w:r>
        <w:rPr>
          <w:rStyle w:val="KeywordTok"/>
        </w:rPr>
        <w:t xml:space="preserve">-</w:t>
      </w:r>
      <w:r>
        <w:rPr>
          <w:rStyle w:val="AttributeTok"/>
        </w:rPr>
        <w:t xml:space="preserve"> </w:t>
      </w:r>
      <w:r>
        <w:rPr>
          <w:rStyle w:val="StringTok"/>
        </w:rPr>
        <w:t xml:space="preserve">"non-recourse dan limited recourse"</w:t>
      </w:r>
      <w:r>
        <w:br/>
      </w:r>
      <w:r>
        <w:rPr>
          <w:rStyle w:val="AttributeTok"/>
        </w:rPr>
        <w:t xml:space="preserve">  </w:t>
      </w:r>
      <w:r>
        <w:rPr>
          <w:rStyle w:val="KeywordTok"/>
        </w:rPr>
        <w:t xml:space="preserve">-</w:t>
      </w:r>
      <w:r>
        <w:rPr>
          <w:rStyle w:val="AttributeTok"/>
        </w:rPr>
        <w:t xml:space="preserve"> </w:t>
      </w:r>
      <w:r>
        <w:rPr>
          <w:rStyle w:val="StringTok"/>
        </w:rPr>
        <w:t xml:space="preserve">"debt service coverage ratio"</w:t>
      </w:r>
      <w:r>
        <w:br/>
      </w:r>
      <w:r>
        <w:rPr>
          <w:rStyle w:val="AttributeTok"/>
        </w:rPr>
        <w:t xml:space="preserve">  </w:t>
      </w:r>
      <w:r>
        <w:rPr>
          <w:rStyle w:val="KeywordTok"/>
        </w:rPr>
        <w:t xml:space="preserve">-</w:t>
      </w:r>
      <w:r>
        <w:rPr>
          <w:rStyle w:val="AttributeTok"/>
        </w:rPr>
        <w:t xml:space="preserve"> </w:t>
      </w:r>
      <w:r>
        <w:rPr>
          <w:rStyle w:val="StringTok"/>
        </w:rPr>
        <w:t xml:space="preserve">"arus kas proyek"</w:t>
      </w:r>
      <w:r>
        <w:br/>
      </w:r>
      <w:r>
        <w:rPr>
          <w:rStyle w:val="AttributeTok"/>
        </w:rPr>
        <w:t xml:space="preserve">  </w:t>
      </w:r>
      <w:r>
        <w:rPr>
          <w:rStyle w:val="KeywordTok"/>
        </w:rPr>
        <w:t xml:space="preserve">-</w:t>
      </w:r>
      <w:r>
        <w:rPr>
          <w:rStyle w:val="AttributeTok"/>
        </w:rPr>
        <w:t xml:space="preserve"> </w:t>
      </w:r>
      <w:r>
        <w:rPr>
          <w:rStyle w:val="StringTok"/>
        </w:rPr>
        <w:t xml:space="preserve">"bankability proyek infrastruktur"</w:t>
      </w:r>
      <w:r>
        <w:br/>
      </w:r>
      <w:r>
        <w:rPr>
          <w:rStyle w:val="AttributeTok"/>
        </w:rPr>
        <w:t xml:space="preserve">  </w:t>
      </w:r>
      <w:r>
        <w:rPr>
          <w:rStyle w:val="KeywordTok"/>
        </w:rPr>
        <w:t xml:space="preserve">-</w:t>
      </w:r>
      <w:r>
        <w:rPr>
          <w:rStyle w:val="AttributeTok"/>
        </w:rPr>
        <w:t xml:space="preserve"> </w:t>
      </w:r>
      <w:r>
        <w:rPr>
          <w:rStyle w:val="StringTok"/>
        </w:rPr>
        <w:t xml:space="preserve">"KPBU"</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"https://www.ptpii.co.id/pembiayaan-kreatif"</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"Pilihan pembiayaan infrastruktur"</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"https://www.ptpii.co.id/kpbu"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"kontrak kerja sama KPBU"</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"https://www.ptpii.co.id/public-private-partnership"</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"public private partnership"</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"https://kpbu.kemenkeu.go.id"</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"Tiga opsi sumber pembiayaan proyek infrastruktur dan komposisi lazim utang–ekuitas 70–80%/20–30% pada skema KPBU (Kementerian Keuangan, Kantor Bersama KPBU, diakses 2026)"</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"https://iptek.its.ac.id/index.php/jps/article/download/3136/2409"</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"Definisi tekstual project finance vs corporate finance, pemisahan aset project company dari neraca sponsor, dan data biaya modal kontraktor BUMN 2013 (Putri &amp; Wisudanto, Universitas Airlangga, 2016)"</w:t>
      </w:r>
      <w:r>
        <w:br/>
      </w:r>
      <w:r>
        <w:rPr>
          <w:rStyle w:val="FunctionTok"/>
        </w:rPr>
        <w:t xml:space="preserve">brief_id</w:t>
      </w:r>
      <w:r>
        <w:rPr>
          <w:rStyle w:val="KeywordTok"/>
        </w:rPr>
        <w:t xml:space="preserve">:</w:t>
      </w:r>
      <w:r>
        <w:rPr>
          <w:rStyle w:val="AttributeTok"/>
        </w:rPr>
        <w:t xml:space="preserve"> </w:t>
      </w:r>
      <w:r>
        <w:rPr>
          <w:rStyle w:val="StringTok"/>
        </w:rPr>
        <w:t xml:space="preserve">"pembiayaan-infrastruktur-02"</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"2026-08"</w:t>
      </w:r>
      <w:r>
        <w:br/>
      </w:r>
      <w:r>
        <w:rPr>
          <w:rStyle w:val="FunctionTok"/>
        </w:rPr>
        <w:t xml:space="preserve">date_modified</w:t>
      </w:r>
      <w:r>
        <w:rPr>
          <w:rStyle w:val="KeywordTok"/>
        </w:rPr>
        <w:t xml:space="preserve">:</w:t>
      </w:r>
      <w:r>
        <w:rPr>
          <w:rStyle w:val="AttributeTok"/>
        </w:rPr>
        <w:t xml:space="preserve"> </w:t>
      </w:r>
      <w:r>
        <w:rPr>
          <w:rStyle w:val="StringTok"/>
        </w:rPr>
        <w:t xml:space="preserve">"2026-08-12"</w:t>
      </w:r>
      <w:r>
        <w:br/>
      </w:r>
      <w:r>
        <w:rPr>
          <w:rStyle w:val="FunctionTok"/>
        </w:rPr>
        <w:t xml:space="preserve">word_count</w:t>
      </w:r>
      <w:r>
        <w:rPr>
          <w:rStyle w:val="KeywordTok"/>
        </w:rPr>
        <w:t xml:space="preserve">:</w:t>
      </w:r>
      <w:r>
        <w:rPr>
          <w:rStyle w:val="AttributeTok"/>
        </w:rPr>
        <w:t xml:space="preserve"> </w:t>
      </w:r>
      <w:r>
        <w:rPr>
          <w:rStyle w:val="DecValTok"/>
        </w:rPr>
        <w:t xml:space="preserve">1786</w:t>
      </w:r>
    </w:p>
    <w:p>
      <w:r>
        <w:pict>
          <v:rect style="width:0;height:1.5pt" o:hralign="center" o:hrstd="t" o:hr="t"/>
        </w:pict>
      </w:r>
    </w:p>
    <w:bookmarkEnd w:id="16"/>
    <w:bookmarkStart w:id="36" w:name="X778a025f847ff22f700a3c8f7984848ee76870e"/>
    <w:p>
      <w:pPr>
        <w:pStyle w:val="Heading1"/>
      </w:pPr>
      <w:r>
        <w:t xml:space="preserve">Pembiayaan Infrastruktur: Corporate Finance atau Project Finance?</w:t>
      </w:r>
    </w:p>
    <w:p>
      <w:pPr>
        <w:pStyle w:val="FirstParagraph"/>
      </w:pPr>
      <w:r>
        <w:t xml:space="preserve">Lelang dimenangkan, izin dasar sudah di tangan, lalu muncul pertanyaan yang tak ada di dokumen pengadaan: proyek ini dibiayai dari neraca perusahaan, atau lewat entitas terpisah yang berdiri di atas arus kas proyek sendiri?</w:t>
      </w:r>
      <w:r>
        <w:t xml:space="preserve"> </w:t>
      </w:r>
      <w:hyperlink r:id="rId17">
        <w:r>
          <w:rPr>
            <w:rStyle w:val="Hyperlink"/>
          </w:rPr>
          <w:t xml:space="preserve">Pilihan pembiayaan infrastruktur</w:t>
        </w:r>
      </w:hyperlink>
      <w:r>
        <w:t xml:space="preserve"> </w:t>
      </w:r>
      <w:r>
        <w:t xml:space="preserve">itu menentukan siapa yang menanggung jika proyek gagal bayar, berapa lama negosiasi berlangsung, dan apakah masih tersisa ruang di neraca untuk proyek berikutnya. Rujukan yang beredar umumnya berhenti pada penyebutan nama skema. Tulisan ini mengubahnya menjadi kerangka keputusan: tiga jalur dibandingkan berdampingan, besaran yang benar-benar dinilai</w:t>
      </w:r>
      <w:r>
        <w:t xml:space="preserve"> </w:t>
      </w:r>
      <w:r>
        <w:rPr>
          <w:i/>
          <w:iCs/>
        </w:rPr>
        <w:t xml:space="preserve">lender</w:t>
      </w:r>
      <w:r>
        <w:t xml:space="preserve">, dan situasi ketika struktur ini justru bukan pilihan tepat.</w:t>
      </w:r>
    </w:p>
    <w:p>
      <w:pPr>
        <w:pStyle w:val="BlockText"/>
      </w:pPr>
      <w:r>
        <w:rPr>
          <w:b/>
          <w:bCs/>
        </w:rPr>
        <w:t xml:space="preserve">Ringkasnya:</w:t>
      </w:r>
      <w:r>
        <w:t xml:space="preserve"> </w:t>
      </w:r>
      <w:r>
        <w:rPr>
          <w:i/>
          <w:iCs/>
        </w:rPr>
        <w:t xml:space="preserve">Project financing</w:t>
      </w:r>
      <w:r>
        <w:t xml:space="preserve"> </w:t>
      </w:r>
      <w:r>
        <w:t xml:space="preserve">adalah pembiayaan proyek infrastruktur melalui entitas terpisah, lazim disebut Badan Usaha Pelaksana (BUP) atau</w:t>
      </w:r>
      <w:r>
        <w:t xml:space="preserve"> </w:t>
      </w:r>
      <w:r>
        <w:rPr>
          <w:i/>
          <w:iCs/>
        </w:rPr>
        <w:t xml:space="preserve">special purpose vehicle</w:t>
      </w:r>
      <w:r>
        <w:t xml:space="preserve">, yang pelunasan utangnya bersandar pada arus kas proyek itu sendiri dan bukan pada kekuatan neraca sponsor. Kelayakannya dinilai dari proyeksi pendapatan serta alokasi risiko dalam kontrak, bukan dari nilai aset perusahaan induk.</w:t>
      </w:r>
    </w:p>
    <w:bookmarkStart w:id="19" w:name="X7c4e75dd00618b7819a7a8abb424d1e3566b515"/>
    <w:p>
      <w:pPr>
        <w:pStyle w:val="Heading2"/>
      </w:pPr>
      <w:r>
        <w:t xml:space="preserve">Apa itu</w:t>
      </w:r>
      <w:r>
        <w:t xml:space="preserve"> </w:t>
      </w:r>
      <w:r>
        <w:rPr>
          <w:i/>
          <w:iCs/>
        </w:rPr>
        <w:t xml:space="preserve">project financing</w:t>
      </w:r>
      <w:r>
        <w:t xml:space="preserve"> </w:t>
      </w:r>
      <w:r>
        <w:t xml:space="preserve">dan apa bedanya dengan membiayai dari neraca perusahaan?</w:t>
      </w:r>
    </w:p>
    <w:p>
      <w:pPr>
        <w:pStyle w:val="FirstParagraph"/>
      </w:pPr>
      <w:r>
        <w:rPr>
          <w:i/>
          <w:iCs/>
        </w:rPr>
        <w:t xml:space="preserve">Corporate financing</w:t>
      </w:r>
      <w:r>
        <w:t xml:space="preserve"> </w:t>
      </w:r>
      <w:r>
        <w:t xml:space="preserve">membiayai proyek dari neraca sponsor: utangnya menempel pada perusahaan dan ditopang seluruh kekuatan kreditnya.</w:t>
      </w:r>
      <w:r>
        <w:t xml:space="preserve"> </w:t>
      </w:r>
      <w:r>
        <w:rPr>
          <w:i/>
          <w:iCs/>
        </w:rPr>
        <w:t xml:space="preserve">Project financing</w:t>
      </w:r>
      <w:r>
        <w:t xml:space="preserve"> </w:t>
      </w:r>
      <w:r>
        <w:t xml:space="preserve">memindahkan proyek ke entitas terpisah yang umurnya dibatasi masa proyek, dengan pelunasan bersandar pada arus kas proyek dan hak tagih</w:t>
      </w:r>
      <w:r>
        <w:t xml:space="preserve"> </w:t>
      </w:r>
      <w:r>
        <w:rPr>
          <w:i/>
          <w:iCs/>
        </w:rPr>
        <w:t xml:space="preserve">lender</w:t>
      </w:r>
      <w:r>
        <w:t xml:space="preserve"> </w:t>
      </w:r>
      <w:r>
        <w:t xml:space="preserve">ke sponsor yang dibatasi atau ditiadakan.</w:t>
      </w:r>
    </w:p>
    <w:p>
      <w:pPr>
        <w:pStyle w:val="BodyText"/>
      </w:pPr>
      <w:r>
        <w:t xml:space="preserve">Pemisahan itu bukan urusan administrasi. Dalam literatur keuangan proyek Indonesia, sponsor membentuk</w:t>
      </w:r>
      <w:r>
        <w:t xml:space="preserve"> </w:t>
      </w:r>
      <w:r>
        <w:rPr>
          <w:i/>
          <w:iCs/>
        </w:rPr>
        <w:t xml:space="preserve">project company</w:t>
      </w:r>
      <w:r>
        <w:t xml:space="preserve"> </w:t>
      </w:r>
      <w:r>
        <w:t xml:space="preserve">yang aset dan sumber dananya dicatat terpisah dari neraca sponsor dan hanya ada sepanjang proyek berjalan (</w:t>
      </w:r>
      <w:hyperlink r:id="rId18">
        <w:r>
          <w:rPr>
            <w:rStyle w:val="Hyperlink"/>
          </w:rPr>
          <w:t xml:space="preserve">Putri &amp; Wisudanto, Universitas Airlangga, 2016</w:t>
        </w:r>
      </w:hyperlink>
      <w:r>
        <w:t xml:space="preserve">). Efeknya terasa di laporan keuangan: rasio utang sponsor tidak ikut memburuk, dan ruang pinjam untuk proyek berikutnya tetap utuh.</w:t>
      </w:r>
    </w:p>
    <w:p>
      <w:pPr>
        <w:pStyle w:val="BodyText"/>
      </w:pPr>
      <w:r>
        <w:t xml:space="preserve">Dua istilah menempel pada struktur ini.</w:t>
      </w:r>
      <w:r>
        <w:t xml:space="preserve"> </w:t>
      </w:r>
      <w:r>
        <w:rPr>
          <w:i/>
          <w:iCs/>
        </w:rPr>
        <w:t xml:space="preserve">Non-recourse</w:t>
      </w:r>
      <w:r>
        <w:t xml:space="preserve"> </w:t>
      </w:r>
      <w:r>
        <w:t xml:space="preserve">berarti</w:t>
      </w:r>
      <w:r>
        <w:t xml:space="preserve"> </w:t>
      </w:r>
      <w:r>
        <w:rPr>
          <w:i/>
          <w:iCs/>
        </w:rPr>
        <w:t xml:space="preserve">lender</w:t>
      </w:r>
      <w:r>
        <w:t xml:space="preserve"> </w:t>
      </w:r>
      <w:r>
        <w:t xml:space="preserve">hanya bisa menagih dari aset dan arus kas proyek;</w:t>
      </w:r>
      <w:r>
        <w:t xml:space="preserve"> </w:t>
      </w:r>
      <w:r>
        <w:rPr>
          <w:i/>
          <w:iCs/>
        </w:rPr>
        <w:t xml:space="preserve">limited recourse</w:t>
      </w:r>
      <w:r>
        <w:t xml:space="preserve"> </w:t>
      </w:r>
      <w:r>
        <w:t xml:space="preserve">memberinya klaim terbatas ke sponsor pada situasi tertentu, misalnya selama masa konstruksi. Kebanyakan proyek riil berada di kategori kedua, dengan sponsor tetap menanggung risiko penyelesaian konstruksi sampai proyek beroperasi.</w:t>
      </w:r>
    </w:p>
    <w:p>
      <w:pPr>
        <w:pStyle w:val="BodyText"/>
      </w:pPr>
      <w:r>
        <w:rPr>
          <w:i/>
          <w:iCs/>
        </w:rPr>
        <w:t xml:space="preserve">Non-recourse</w:t>
      </w:r>
      <w:r>
        <w:t xml:space="preserve"> </w:t>
      </w:r>
      <w:r>
        <w:t xml:space="preserve">yang benar-benar murni jarang ditemui, dan sponsor yang membaca</w:t>
      </w:r>
      <w:r>
        <w:t xml:space="preserve"> </w:t>
      </w:r>
      <w:r>
        <w:t xml:space="preserve">“tanpa hak tagih”</w:t>
      </w:r>
      <w:r>
        <w:t xml:space="preserve"> </w:t>
      </w:r>
      <w:r>
        <w:t xml:space="preserve">sebagai</w:t>
      </w:r>
      <w:r>
        <w:t xml:space="preserve"> </w:t>
      </w:r>
      <w:r>
        <w:t xml:space="preserve">“tanpa eksposur”</w:t>
      </w:r>
      <w:r>
        <w:t xml:space="preserve"> </w:t>
      </w:r>
      <w:r>
        <w:t xml:space="preserve">biasanya menemukan koreksinya di meja negosiasi.</w:t>
      </w:r>
    </w:p>
    <w:bookmarkEnd w:id="19"/>
    <w:bookmarkStart w:id="22" w:name="X82fd1c034baee7567fddbfa8d7f423e3dbc1ddc"/>
    <w:p>
      <w:pPr>
        <w:pStyle w:val="Heading2"/>
      </w:pPr>
      <w:r>
        <w:t xml:space="preserve">Tiga jalur pembiayaan proyek infrastruktur, dibandingkan berdampingan</w:t>
      </w:r>
    </w:p>
    <w:p>
      <w:pPr>
        <w:pStyle w:val="FirstParagraph"/>
      </w:pPr>
      <w:r>
        <w:t xml:space="preserve">Kementerian Keuangan lewat</w:t>
      </w:r>
      <w:r>
        <w:t xml:space="preserve"> </w:t>
      </w:r>
      <w:hyperlink r:id="rId20">
        <w:r>
          <w:rPr>
            <w:rStyle w:val="Hyperlink"/>
          </w:rPr>
          <w:t xml:space="preserve">Kantor Bersama KPBU</w:t>
        </w:r>
      </w:hyperlink>
      <w:r>
        <w:t xml:space="preserve"> </w:t>
      </w:r>
      <w:r>
        <w:t xml:space="preserve">menyebut tiga opsi sumber pembiayaan proyek infrastruktur:</w:t>
      </w:r>
      <w:r>
        <w:t xml:space="preserve"> </w:t>
      </w:r>
      <w:r>
        <w:rPr>
          <w:i/>
          <w:iCs/>
        </w:rPr>
        <w:t xml:space="preserve">government financing</w:t>
      </w:r>
      <w:r>
        <w:t xml:space="preserve">,</w:t>
      </w:r>
      <w:r>
        <w:t xml:space="preserve"> </w:t>
      </w:r>
      <w:r>
        <w:rPr>
          <w:i/>
          <w:iCs/>
        </w:rPr>
        <w:t xml:space="preserve">corporate financing</w:t>
      </w:r>
      <w:r>
        <w:t xml:space="preserve">, dan</w:t>
      </w:r>
      <w:r>
        <w:t xml:space="preserve"> </w:t>
      </w:r>
      <w:r>
        <w:rPr>
          <w:i/>
          <w:iCs/>
        </w:rPr>
        <w:t xml:space="preserve">project financing</w:t>
      </w:r>
      <w:r>
        <w:t xml:space="preserve">, dengan KPBU (</w:t>
      </w:r>
      <w:r>
        <w:rPr>
          <w:i/>
          <w:iCs/>
        </w:rPr>
        <w:t xml:space="preserve">Kerja Sama Pemerintah dengan Badan Usaha</w:t>
      </w:r>
      <w:r>
        <w:t xml:space="preserve">) sebagai penerapan</w:t>
      </w:r>
      <w:r>
        <w:t xml:space="preserve"> </w:t>
      </w:r>
      <w:r>
        <w:rPr>
          <w:i/>
          <w:iCs/>
        </w:rPr>
        <w:t xml:space="preserve">project financing</w:t>
      </w:r>
      <w:r>
        <w:t xml:space="preserve"> </w:t>
      </w:r>
      <w:r>
        <w:t xml:space="preserve">melalui Badan Usaha Pelaksana (diakses 2026). Perbedaan praktisnya: dari mana dana berasal, siapa menanggung gagal bayar, dan apa yang tertinggal di neraca sponsor.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Aspek</w:t>
            </w:r>
          </w:p>
        </w:tc>
        <w:tc>
          <w:tcPr/>
          <w:p>
            <w:pPr>
              <w:pStyle w:val="Compact"/>
            </w:pPr>
            <w:r>
              <w:rPr>
                <w:i/>
                <w:iCs/>
              </w:rPr>
              <w:t xml:space="preserve">Government financing</w:t>
            </w:r>
            <w:r>
              <w:t xml:space="preserve"> </w:t>
            </w:r>
            <w:r>
              <w:t xml:space="preserve">(APBN/APBD)</w:t>
            </w:r>
          </w:p>
        </w:tc>
        <w:tc>
          <w:tcPr/>
          <w:p>
            <w:pPr>
              <w:pStyle w:val="Compact"/>
            </w:pPr>
            <w:r>
              <w:rPr>
                <w:i/>
                <w:iCs/>
              </w:rPr>
              <w:t xml:space="preserve">Corporate financing</w:t>
            </w:r>
          </w:p>
        </w:tc>
        <w:tc>
          <w:tcPr/>
          <w:p>
            <w:pPr>
              <w:pStyle w:val="Compact"/>
            </w:pPr>
            <w:r>
              <w:rPr>
                <w:i/>
                <w:iCs/>
              </w:rPr>
              <w:t xml:space="preserve">Project financing</w:t>
            </w:r>
          </w:p>
        </w:tc>
      </w:tr>
      <w:tr>
        <w:tc>
          <w:tcPr/>
          <w:p>
            <w:pPr>
              <w:pStyle w:val="Compact"/>
            </w:pPr>
            <w:r>
              <w:t xml:space="preserve">Sumber dana</w:t>
            </w:r>
          </w:p>
        </w:tc>
        <w:tc>
          <w:tcPr/>
          <w:p>
            <w:pPr>
              <w:pStyle w:val="Compact"/>
            </w:pPr>
            <w:r>
              <w:t xml:space="preserve">Anggaran pemerintah</w:t>
            </w:r>
          </w:p>
        </w:tc>
        <w:tc>
          <w:tcPr/>
          <w:p>
            <w:pPr>
              <w:pStyle w:val="Compact"/>
            </w:pPr>
            <w:r>
              <w:t xml:space="preserve">Neraca dan akses pasar modal sponsor</w:t>
            </w:r>
          </w:p>
        </w:tc>
        <w:tc>
          <w:tcPr/>
          <w:p>
            <w:pPr>
              <w:pStyle w:val="Compact"/>
            </w:pPr>
            <w:r>
              <w:t xml:space="preserve">Badan Usaha Pelaksana: utang (lazim 70–80% biaya proyek) plus ekuitas</w:t>
            </w:r>
          </w:p>
        </w:tc>
      </w:tr>
      <w:tr>
        <w:tc>
          <w:tcPr/>
          <w:p>
            <w:pPr>
              <w:pStyle w:val="Compact"/>
            </w:pPr>
            <w:r>
              <w:t xml:space="preserve">Penanggung gagal bayar</w:t>
            </w:r>
          </w:p>
        </w:tc>
        <w:tc>
          <w:tcPr/>
          <w:p>
            <w:pPr>
              <w:pStyle w:val="Compact"/>
            </w:pPr>
            <w:r>
              <w:t xml:space="preserve">Pemerintah</w:t>
            </w:r>
          </w:p>
        </w:tc>
        <w:tc>
          <w:tcPr/>
          <w:p>
            <w:pPr>
              <w:pStyle w:val="Compact"/>
            </w:pPr>
            <w:r>
              <w:t xml:space="preserve">Sponsor, dengan seluruh neracanya (</w:t>
            </w:r>
            <w:r>
              <w:rPr>
                <w:i/>
                <w:iCs/>
              </w:rPr>
              <w:t xml:space="preserve">full recourse</w:t>
            </w:r>
            <w:r>
              <w:t xml:space="preserve">)</w:t>
            </w:r>
          </w:p>
        </w:tc>
        <w:tc>
          <w:tcPr/>
          <w:p>
            <w:pPr>
              <w:pStyle w:val="Compact"/>
            </w:pPr>
            <w:r>
              <w:t xml:space="preserve">Arus kas proyek; hak tagih ke sponsor terbatas atau nihil</w:t>
            </w:r>
          </w:p>
        </w:tc>
      </w:tr>
      <w:tr>
        <w:tc>
          <w:tcPr/>
          <w:p>
            <w:pPr>
              <w:pStyle w:val="Compact"/>
            </w:pPr>
            <w:r>
              <w:t xml:space="preserve">Dampak ke neraca sponsor</w:t>
            </w:r>
          </w:p>
        </w:tc>
        <w:tc>
          <w:tcPr/>
          <w:p>
            <w:pPr>
              <w:pStyle w:val="Compact"/>
            </w:pPr>
            <w:r>
              <w:t xml:space="preserve">Tidak relevan</w:t>
            </w:r>
          </w:p>
        </w:tc>
        <w:tc>
          <w:tcPr/>
          <w:p>
            <w:pPr>
              <w:pStyle w:val="Compact"/>
            </w:pPr>
            <w:r>
              <w:t xml:space="preserve">Utang tercatat penuh, menekan kapasitas pinjam berikutnya</w:t>
            </w:r>
          </w:p>
        </w:tc>
        <w:tc>
          <w:tcPr/>
          <w:p>
            <w:pPr>
              <w:pStyle w:val="Compact"/>
            </w:pPr>
            <w:r>
              <w:t xml:space="preserve">Aset dan utang proyek dicatat terpisah</w:t>
            </w:r>
          </w:p>
        </w:tc>
      </w:tr>
      <w:tr>
        <w:tc>
          <w:tcPr/>
          <w:p>
            <w:pPr>
              <w:pStyle w:val="Compact"/>
            </w:pPr>
            <w:r>
              <w:t xml:space="preserve">Tenor</w:t>
            </w:r>
          </w:p>
        </w:tc>
        <w:tc>
          <w:tcPr/>
          <w:p>
            <w:pPr>
              <w:pStyle w:val="Compact"/>
            </w:pPr>
            <w:r>
              <w:t xml:space="preserve">Mengikuti siklus anggaran</w:t>
            </w:r>
          </w:p>
        </w:tc>
        <w:tc>
          <w:tcPr/>
          <w:p>
            <w:pPr>
              <w:pStyle w:val="Compact"/>
            </w:pPr>
            <w:r>
              <w:t xml:space="preserve">Mengikuti tenor korporasi yang tersedia</w:t>
            </w:r>
          </w:p>
        </w:tc>
        <w:tc>
          <w:tcPr/>
          <w:p>
            <w:pPr>
              <w:pStyle w:val="Compact"/>
            </w:pPr>
            <w:r>
              <w:t xml:space="preserve">Dirancang mengikuti profil arus kas, dibatasi kesediaan</w:t>
            </w:r>
            <w:r>
              <w:t xml:space="preserve"> </w:t>
            </w:r>
            <w:r>
              <w:rPr>
                <w:i/>
                <w:iCs/>
              </w:rPr>
              <w:t xml:space="preserve">lender</w:t>
            </w:r>
          </w:p>
        </w:tc>
      </w:tr>
      <w:tr>
        <w:tc>
          <w:tcPr/>
          <w:p>
            <w:pPr>
              <w:pStyle w:val="Compact"/>
            </w:pPr>
            <w:r>
              <w:t xml:space="preserve">Kecepatan kesepakatan</w:t>
            </w:r>
          </w:p>
        </w:tc>
        <w:tc>
          <w:tcPr/>
          <w:p>
            <w:pPr>
              <w:pStyle w:val="Compact"/>
            </w:pPr>
            <w:r>
              <w:t xml:space="preserve">Proses anggaran, bukan negosiasi</w:t>
            </w:r>
          </w:p>
        </w:tc>
        <w:tc>
          <w:tcPr/>
          <w:p>
            <w:pPr>
              <w:pStyle w:val="Compact"/>
            </w:pPr>
            <w:r>
              <w:t xml:space="preserve">Lebih cepat, dokumentasi lebih ringkas</w:t>
            </w:r>
          </w:p>
        </w:tc>
        <w:tc>
          <w:tcPr/>
          <w:p>
            <w:pPr>
              <w:pStyle w:val="Compact"/>
            </w:pPr>
            <w:r>
              <w:t xml:space="preserve">Lebih lambat: uji tuntas berlapis, negosiasi multipihak</w:t>
            </w:r>
          </w:p>
        </w:tc>
      </w:tr>
      <w:tr>
        <w:tc>
          <w:tcPr/>
          <w:p>
            <w:pPr>
              <w:pStyle w:val="Compact"/>
            </w:pPr>
            <w:r>
              <w:t xml:space="preserve">Biaya transaksi</w:t>
            </w:r>
          </w:p>
        </w:tc>
        <w:tc>
          <w:tcPr/>
          <w:p>
            <w:pPr>
              <w:pStyle w:val="Compact"/>
            </w:pPr>
            <w:r>
              <w:t xml:space="preserve">Tidak relevan</w:t>
            </w:r>
          </w:p>
        </w:tc>
        <w:tc>
          <w:tcPr/>
          <w:p>
            <w:pPr>
              <w:pStyle w:val="Compact"/>
            </w:pPr>
            <w:r>
              <w:t xml:space="preserve">Lebih rendah</w:t>
            </w:r>
          </w:p>
        </w:tc>
        <w:tc>
          <w:tcPr/>
          <w:p>
            <w:pPr>
              <w:pStyle w:val="Compact"/>
            </w:pPr>
            <w:r>
              <w:t xml:space="preserve">Lebih tinggi: penasihat, pemodelan keuangan, pembentukan entitas</w:t>
            </w:r>
          </w:p>
        </w:tc>
      </w:tr>
      <w:tr>
        <w:tc>
          <w:tcPr/>
          <w:p>
            <w:pPr>
              <w:pStyle w:val="Compact"/>
            </w:pPr>
            <w:r>
              <w:t xml:space="preserve">Paling cocok</w:t>
            </w:r>
          </w:p>
        </w:tc>
        <w:tc>
          <w:tcPr/>
          <w:p>
            <w:pPr>
              <w:pStyle w:val="Compact"/>
            </w:pPr>
            <w:r>
              <w:t xml:space="preserve">Infrastruktur tanpa potensi pendapatan</w:t>
            </w:r>
          </w:p>
        </w:tc>
        <w:tc>
          <w:tcPr/>
          <w:p>
            <w:pPr>
              <w:pStyle w:val="Compact"/>
            </w:pPr>
            <w:r>
              <w:t xml:space="preserve">Proyek kecil terhadap neraca atau jadwal mendesak</w:t>
            </w:r>
          </w:p>
        </w:tc>
        <w:tc>
          <w:tcPr/>
          <w:p>
            <w:pPr>
              <w:pStyle w:val="Compact"/>
            </w:pPr>
            <w:r>
              <w:t xml:space="preserve">Proyek besar dengan arus kas terproyeksi jelas</w:t>
            </w:r>
          </w:p>
        </w:tc>
      </w:tr>
    </w:tbl>
    <w:p>
      <w:pPr>
        <w:pStyle w:val="BodyText"/>
      </w:pPr>
      <w:r>
        <w:t xml:space="preserve">Satu catatan yang jarang dibuat eksplisit: ketiga jalur ini tidak sejajar.</w:t>
      </w:r>
      <w:r>
        <w:t xml:space="preserve"> </w:t>
      </w:r>
      <w:r>
        <w:rPr>
          <w:i/>
          <w:iCs/>
        </w:rPr>
        <w:t xml:space="preserve">Government financing</w:t>
      </w:r>
      <w:r>
        <w:t xml:space="preserve"> </w:t>
      </w:r>
      <w:r>
        <w:t xml:space="preserve">adalah keputusan pengadaan di sisi pemerintah, bukan opsi struktur di meja sponsor. Bagi badan usaha, pilihan riilnya tetap dikotomi lama antara neraca korporasi dan struktur proyek. Kerangka</w:t>
      </w:r>
      <w:r>
        <w:t xml:space="preserve"> </w:t>
      </w:r>
      <w:hyperlink r:id="rId21">
        <w:r>
          <w:rPr>
            <w:rStyle w:val="Hyperlink"/>
          </w:rPr>
          <w:t xml:space="preserve">public private partnership</w:t>
        </w:r>
      </w:hyperlink>
      <w:r>
        <w:t xml:space="preserve"> </w:t>
      </w:r>
      <w:r>
        <w:t xml:space="preserve">yang dipakai</w:t>
      </w:r>
      <w:r>
        <w:t xml:space="preserve"> </w:t>
      </w:r>
      <w:r>
        <w:rPr>
          <w:i/>
          <w:iCs/>
        </w:rPr>
        <w:t xml:space="preserve">lender</w:t>
      </w:r>
      <w:r>
        <w:t xml:space="preserve"> </w:t>
      </w:r>
      <w:r>
        <w:t xml:space="preserve">internasional membacanya serupa: yang dinilai kualitas arus kas dan pembagian risiko dalam kontrak, bukan besar kecilnya neraca pemegang saham.</w:t>
      </w:r>
    </w:p>
    <w:bookmarkEnd w:id="22"/>
    <w:bookmarkStart w:id="23" w:name="X0f9644ad640ab9d5f5ac87a0082b7de2751232a"/>
    <w:p>
      <w:pPr>
        <w:pStyle w:val="Heading2"/>
      </w:pPr>
      <w:r>
        <w:t xml:space="preserve">Angka apa yang menentukan sebuah proyek bisa dibiayai secara</w:t>
      </w:r>
      <w:r>
        <w:t xml:space="preserve"> </w:t>
      </w:r>
      <w:r>
        <w:rPr>
          <w:i/>
          <w:iCs/>
        </w:rPr>
        <w:t xml:space="preserve">project finance</w:t>
      </w:r>
      <w:r>
        <w:t xml:space="preserve">?</w:t>
      </w:r>
    </w:p>
    <w:p>
      <w:pPr>
        <w:pStyle w:val="FirstParagraph"/>
      </w:pPr>
      <w:r>
        <w:t xml:space="preserve">Empat besaran menentukan. Komposisi utang dan ekuitas, yang menurut Kementerian Keuangan lazim berkisar 70–80% utang dan 20–30% ekuitas dari biaya proyek (diakses 2026). Bantalan arus kas terhadap kewajiban cicilan, diukur lewat</w:t>
      </w:r>
      <w:r>
        <w:t xml:space="preserve"> </w:t>
      </w:r>
      <w:r>
        <w:rPr>
          <w:i/>
          <w:iCs/>
        </w:rPr>
        <w:t xml:space="preserve">debt service coverage ratio</w:t>
      </w:r>
      <w:r>
        <w:t xml:space="preserve"> </w:t>
      </w:r>
      <w:r>
        <w:t xml:space="preserve">(DSCR). Kesesuaian tenor pinjaman dengan umur ekonomis aset. Terakhir, tingkat kepastian sumber pendapatan proyek.</w:t>
      </w:r>
    </w:p>
    <w:p>
      <w:pPr>
        <w:pStyle w:val="Compact"/>
        <w:numPr>
          <w:ilvl w:val="0"/>
          <w:numId w:val="1001"/>
        </w:numPr>
      </w:pPr>
      <w:r>
        <w:rPr>
          <w:b/>
          <w:bCs/>
        </w:rPr>
        <w:t xml:space="preserve">Komposisi utang–ekuitas.</w:t>
      </w:r>
      <w:r>
        <w:t xml:space="preserve"> </w:t>
      </w:r>
      <w:r>
        <w:t xml:space="preserve">Kisaran 70–80% utang adalah praktik umum, bukan ambang regulasi; proyek berisiko tinggi kerap diminta menyetor ekuitas lebih besar.</w:t>
      </w:r>
    </w:p>
    <w:p>
      <w:pPr>
        <w:pStyle w:val="Compact"/>
        <w:numPr>
          <w:ilvl w:val="0"/>
          <w:numId w:val="1001"/>
        </w:numPr>
      </w:pPr>
      <w:r>
        <w:rPr>
          <w:b/>
          <w:bCs/>
        </w:rPr>
        <w:t xml:space="preserve">DSCR.</w:t>
      </w:r>
      <w:r>
        <w:t xml:space="preserve"> </w:t>
      </w:r>
      <w:r>
        <w:t xml:space="preserve">Ukuran seberapa lega arus kas menutup cicilan pokok dan bunga. Tidak ada ambang baku lintas sektor di Indonesia; angkanya ditetapkan per proyek oleh</w:t>
      </w:r>
      <w:r>
        <w:t xml:space="preserve"> </w:t>
      </w:r>
      <w:r>
        <w:rPr>
          <w:i/>
          <w:iCs/>
        </w:rPr>
        <w:t xml:space="preserve">lender</w:t>
      </w:r>
      <w:r>
        <w:t xml:space="preserve">.</w:t>
      </w:r>
    </w:p>
    <w:p>
      <w:pPr>
        <w:pStyle w:val="Compact"/>
        <w:numPr>
          <w:ilvl w:val="0"/>
          <w:numId w:val="1001"/>
        </w:numPr>
      </w:pPr>
      <w:r>
        <w:rPr>
          <w:b/>
          <w:bCs/>
        </w:rPr>
        <w:t xml:space="preserve">Tenor.</w:t>
      </w:r>
      <w:r>
        <w:t xml:space="preserve"> </w:t>
      </w:r>
      <w:r>
        <w:t xml:space="preserve">Umur ekonomis aset infrastruktur lazimnya melampaui tenor pinjaman perbankan yang tersedia; selisihnya diselesaikan lewat struktur pelunasan atau rencana pembiayaan ulang.</w:t>
      </w:r>
    </w:p>
    <w:p>
      <w:pPr>
        <w:pStyle w:val="Compact"/>
        <w:numPr>
          <w:ilvl w:val="0"/>
          <w:numId w:val="1001"/>
        </w:numPr>
      </w:pPr>
      <w:r>
        <w:rPr>
          <w:b/>
          <w:bCs/>
        </w:rPr>
        <w:t xml:space="preserve">Sumber pendapatan.</w:t>
      </w:r>
      <w:r>
        <w:t xml:space="preserve"> </w:t>
      </w:r>
      <w:r>
        <w:t xml:space="preserve">Pembayaran ketersediaan layanan (</w:t>
      </w:r>
      <w:r>
        <w:rPr>
          <w:i/>
          <w:iCs/>
        </w:rPr>
        <w:t xml:space="preserve">availability payment</w:t>
      </w:r>
      <w:r>
        <w:t xml:space="preserve">) memberi kepastian berbeda dibanding tarif pengguna yang bergantung pada volume permintaan.</w:t>
      </w:r>
    </w:p>
    <w:p>
      <w:pPr>
        <w:pStyle w:val="FirstParagraph"/>
      </w:pPr>
      <w:r>
        <w:t xml:space="preserve">Utang mendominasi bukan karena</w:t>
      </w:r>
      <w:r>
        <w:t xml:space="preserve"> </w:t>
      </w:r>
      <w:r>
        <w:rPr>
          <w:i/>
          <w:iCs/>
        </w:rPr>
        <w:t xml:space="preserve">lender</w:t>
      </w:r>
      <w:r>
        <w:t xml:space="preserve"> </w:t>
      </w:r>
      <w:r>
        <w:t xml:space="preserve">murah hati. Modal ekuitas menuntut imbal hasil lebih tinggi daripada utang: dengan data 2013 atas empat kontraktor BUMN besar, biaya modal utang tercatat 8,9%–9,55% sementara biaya modal ekuitas 10,3%–12,5% (Putri &amp; Wisudanto, 2016). Dua angka itu adalah potret biaya dana korporasi pada 2013, bukan patokan biaya dana</w:t>
      </w:r>
      <w:r>
        <w:t xml:space="preserve"> </w:t>
      </w:r>
      <w:r>
        <w:rPr>
          <w:i/>
          <w:iCs/>
        </w:rPr>
        <w:t xml:space="preserve">project finance</w:t>
      </w:r>
      <w:r>
        <w:t xml:space="preserve"> </w:t>
      </w:r>
      <w:r>
        <w:t xml:space="preserve">hari ini. Logikanya tetap berlaku: porsi utang lebih besar menekan biaya modal campuran, sekaligus menaikkan risiko gagal bayar yang dipersepsikan pemberi pinjaman.</w:t>
      </w:r>
    </w:p>
    <w:bookmarkEnd w:id="23"/>
    <w:bookmarkStart w:id="25" w:name="Xf8ae69741ab945dcb66458ea03f68ddbce161ff"/>
    <w:p>
      <w:pPr>
        <w:pStyle w:val="Heading2"/>
      </w:pPr>
      <w:r>
        <w:t xml:space="preserve">Bagaimana kepastian dari sisi pemerintah mengubah struktur yang bisa dibangun</w:t>
      </w:r>
    </w:p>
    <w:p>
      <w:pPr>
        <w:pStyle w:val="FirstParagraph"/>
      </w:pPr>
      <w:r>
        <w:t xml:space="preserve">Karena</w:t>
      </w:r>
      <w:r>
        <w:t xml:space="preserve"> </w:t>
      </w:r>
      <w:r>
        <w:rPr>
          <w:i/>
          <w:iCs/>
        </w:rPr>
        <w:t xml:space="preserve">project finance</w:t>
      </w:r>
      <w:r>
        <w:t xml:space="preserve"> </w:t>
      </w:r>
      <w:r>
        <w:t xml:space="preserve">bersandar pada arus kas kontraktual, strukturnya rapuh bila kewajiban sisi pemerintah tidak pasti. Tingkat kepastian itu ikut menentukan berapa besar utang yang bersedia ditanggung</w:t>
      </w:r>
      <w:r>
        <w:t xml:space="preserve"> </w:t>
      </w:r>
      <w:r>
        <w:rPr>
          <w:i/>
          <w:iCs/>
        </w:rPr>
        <w:t xml:space="preserve">lender</w:t>
      </w:r>
      <w:r>
        <w:t xml:space="preserve">, seberapa panjang tenor yang ditawarkan, dan berapa ekuitas yang harus disetor sponsor sebelum</w:t>
      </w:r>
      <w:r>
        <w:t xml:space="preserve"> </w:t>
      </w:r>
      <w:r>
        <w:rPr>
          <w:i/>
          <w:iCs/>
        </w:rPr>
        <w:t xml:space="preserve">financial close</w:t>
      </w:r>
      <w:r>
        <w:t xml:space="preserve"> </w:t>
      </w:r>
      <w:r>
        <w:t xml:space="preserve">tercapai.</w:t>
      </w:r>
    </w:p>
    <w:p>
      <w:pPr>
        <w:pStyle w:val="BodyText"/>
      </w:pPr>
      <w:r>
        <w:t xml:space="preserve">Fondasinya adalah</w:t>
      </w:r>
      <w:r>
        <w:t xml:space="preserve"> </w:t>
      </w:r>
      <w:hyperlink r:id="rId24">
        <w:r>
          <w:rPr>
            <w:rStyle w:val="Hyperlink"/>
          </w:rPr>
          <w:t xml:space="preserve">kontrak kerja sama KPBU</w:t>
        </w:r>
      </w:hyperlink>
      <w:r>
        <w:t xml:space="preserve"> </w:t>
      </w:r>
      <w:r>
        <w:t xml:space="preserve">yang berpayung pada Peraturan Presiden No. 38 Tahun 2015. Di atasnya, PMK No. 68 Tahun 2024 (berlaku 18 Oktober 2024) mengonsolidasikan dukungan pemerintah untuk skema KPBU: penjaminan infrastruktur, dukungan kelayakan, pembayaran ketersediaan layanan, dan fasilitas penyiapan proyek. Bagi sponsor, keempatnya mengubah struktur yang bisa dibangun.</w:t>
      </w:r>
    </w:p>
    <w:p>
      <w:pPr>
        <w:pStyle w:val="BodyText"/>
      </w:pPr>
      <w:r>
        <w:t xml:space="preserve">Penjaminan pemerintah bekerja sebagai</w:t>
      </w:r>
      <w:r>
        <w:t xml:space="preserve"> </w:t>
      </w:r>
      <w:r>
        <w:rPr>
          <w:i/>
          <w:iCs/>
        </w:rPr>
        <w:t xml:space="preserve">credit enhancement</w:t>
      </w:r>
      <w:r>
        <w:t xml:space="preserve">: ia menutup ketidakpastian pada kewajiban pemerintah dalam kontrak, sehingga</w:t>
      </w:r>
      <w:r>
        <w:t xml:space="preserve"> </w:t>
      </w:r>
      <w:r>
        <w:rPr>
          <w:i/>
          <w:iCs/>
        </w:rPr>
        <w:t xml:space="preserve">lender</w:t>
      </w:r>
      <w:r>
        <w:t xml:space="preserve"> </w:t>
      </w:r>
      <w:r>
        <w:t xml:space="preserve">bersedia menerima struktur dengan hak tagih terbatas. Jejaknya terlihat pada proyek nyata. Menurut informasi portofolio penjaminan PT PII, Badan Usaha Penjaminan Infrastruktur (BUPI) di bawah Kementerian Keuangan, SPAM Umbulan mencapai</w:t>
      </w:r>
      <w:r>
        <w:t xml:space="preserve"> </w:t>
      </w:r>
      <w:r>
        <w:rPr>
          <w:i/>
          <w:iCs/>
        </w:rPr>
        <w:t xml:space="preserve">financial close</w:t>
      </w:r>
      <w:r>
        <w:t xml:space="preserve"> </w:t>
      </w:r>
      <w:r>
        <w:t xml:space="preserve">pada 30 Desember 2016 untuk proyek senilai Rp 4,51 triliun, sementara Jalan Tol Bogor–Serpong via Parung menandatangani perjanjian penjaminan pada 3 Oktober 2025 untuk investasi Rp 12,351 triliun. Portofolio itu mencakup 61 proyek dijamin dengan total nilai proyek lebih dari Rp 732 triliun per Juni 2026.</w:t>
      </w:r>
    </w:p>
    <w:p>
      <w:pPr>
        <w:pStyle w:val="BodyText"/>
      </w:pPr>
      <w:r>
        <w:t xml:space="preserve">Untuk proyek BUMN di luar skema KPBU, jalurnya berbeda. Penjaminan atas risiko gagal bayar pinjaman atau obligasi diatur PMK No. 101/PMK.08/2018 (ditetapkan 24 Agustus 2018), yang cakupannya terbatas pada pinjaman BUMN dari lembaga keuangan internasional serta beberapa program percepatan yang disebut namanya, dan disertai hak regres atas klaim yang telah dibayarkan.</w:t>
      </w:r>
    </w:p>
    <w:p>
      <w:pPr>
        <w:pStyle w:val="BodyText"/>
      </w:pPr>
      <w:r>
        <w:t xml:space="preserve">Batasnya sering disalahpahami: penjaminan pemerintah bukan subsidi, dan tidak menghapus risiko komersial badan usaha. Risiko konstruksi, operasi, dan permintaan pasar tetap di pundak Badan Usaha Pelaksana.</w:t>
      </w:r>
    </w:p>
    <w:bookmarkEnd w:id="25"/>
    <w:bookmarkStart w:id="26" w:name="X0ddd132396a8e86a7b764d1d0fe89d500290160"/>
    <w:p>
      <w:pPr>
        <w:pStyle w:val="Heading2"/>
      </w:pPr>
      <w:r>
        <w:t xml:space="preserve">Kapan</w:t>
      </w:r>
      <w:r>
        <w:t xml:space="preserve"> </w:t>
      </w:r>
      <w:r>
        <w:rPr>
          <w:i/>
          <w:iCs/>
        </w:rPr>
        <w:t xml:space="preserve">project finance</w:t>
      </w:r>
      <w:r>
        <w:t xml:space="preserve"> </w:t>
      </w:r>
      <w:r>
        <w:t xml:space="preserve">BUKAN pilihan yang tepat</w:t>
      </w:r>
    </w:p>
    <w:p>
      <w:pPr>
        <w:pStyle w:val="FirstParagraph"/>
      </w:pPr>
      <w:r>
        <w:t xml:space="preserve">Struktur ini menuntut ongkos tetap yang besar: uji tuntas teknis dan hukum, pemodelan keuangan berlapis, serta pembentukan entitas proyek. Ongkos itu baru sepadan pada proyek berskala besar dengan arus kas yang cukup dapat diproyeksikan. Di luar kondisi tersebut, membiayai dari neraca sendiri sering kali menjadi keputusan yang lebih rasional.</w:t>
      </w:r>
    </w:p>
    <w:p>
      <w:pPr>
        <w:pStyle w:val="Compact"/>
        <w:numPr>
          <w:ilvl w:val="0"/>
          <w:numId w:val="1002"/>
        </w:numPr>
      </w:pPr>
      <w:r>
        <w:rPr>
          <w:b/>
          <w:bCs/>
        </w:rPr>
        <w:t xml:space="preserve">Seberapa besar proyek ini dibanding neraca Anda?</w:t>
      </w:r>
      <w:r>
        <w:t xml:space="preserve"> </w:t>
      </w:r>
      <w:r>
        <w:t xml:space="preserve">Bila nilainya kecil, biaya transaksi</w:t>
      </w:r>
      <w:r>
        <w:t xml:space="preserve"> </w:t>
      </w:r>
      <w:r>
        <w:rPr>
          <w:i/>
          <w:iCs/>
        </w:rPr>
        <w:t xml:space="preserve">project finance</w:t>
      </w:r>
      <w:r>
        <w:t xml:space="preserve"> </w:t>
      </w:r>
      <w:r>
        <w:t xml:space="preserve">memakan porsi yang tidak sepadan.</w:t>
      </w:r>
    </w:p>
    <w:p>
      <w:pPr>
        <w:pStyle w:val="Compact"/>
        <w:numPr>
          <w:ilvl w:val="0"/>
          <w:numId w:val="1002"/>
        </w:numPr>
      </w:pPr>
      <w:r>
        <w:rPr>
          <w:b/>
          <w:bCs/>
        </w:rPr>
        <w:t xml:space="preserve">Berapa biaya dana yang bisa Anda tarik sendiri?</w:t>
      </w:r>
      <w:r>
        <w:t xml:space="preserve"> </w:t>
      </w:r>
      <w:r>
        <w:t xml:space="preserve">Sponsor bermodal kuat dengan rekam jejak kredit baik kerap memperoleh pinjaman lebih murah, dan lebih cepat, atas nama korporasi.</w:t>
      </w:r>
    </w:p>
    <w:p>
      <w:pPr>
        <w:pStyle w:val="Compact"/>
        <w:numPr>
          <w:ilvl w:val="0"/>
          <w:numId w:val="1002"/>
        </w:numPr>
      </w:pPr>
      <w:r>
        <w:rPr>
          <w:b/>
          <w:bCs/>
        </w:rPr>
        <w:t xml:space="preserve">Seberapa dapat diproyeksikan arus kasnya?</w:t>
      </w:r>
      <w:r>
        <w:t xml:space="preserve"> </w:t>
      </w:r>
      <w:r>
        <w:t xml:space="preserve">Pendapatan yang bergantung pada volume permintaan, tanpa mekanisme penyeimbang, sulit menopang beban utang tinggi.</w:t>
      </w:r>
    </w:p>
    <w:p>
      <w:pPr>
        <w:pStyle w:val="Compact"/>
        <w:numPr>
          <w:ilvl w:val="0"/>
          <w:numId w:val="1002"/>
        </w:numPr>
      </w:pPr>
      <w:r>
        <w:rPr>
          <w:b/>
          <w:bCs/>
        </w:rPr>
        <w:t xml:space="preserve">Berapa waktu tersedia sampai konstruksi dimulai?</w:t>
      </w:r>
      <w:r>
        <w:t xml:space="preserve"> </w:t>
      </w:r>
      <w:r>
        <w:t xml:space="preserve">Negosiasi alokasi risiko multipihak butuh waktu, dan jadwal mendesak menghukum struktur berlapis.</w:t>
      </w:r>
    </w:p>
    <w:p>
      <w:pPr>
        <w:pStyle w:val="FirstParagraph"/>
      </w:pPr>
      <w:r>
        <w:t xml:space="preserve">Dua pertanyaan pertama biasanya sudah cukup menyaring. Sisanya soal waktu, bagian yang paling sering diremehkan: struktur paling efisien di atas kertas tidak berguna bila proyek kehilangan momentum sebelum dokumen selesai dinegosiasikan. Memilih</w:t>
      </w:r>
      <w:r>
        <w:t xml:space="preserve"> </w:t>
      </w:r>
      <w:r>
        <w:rPr>
          <w:i/>
          <w:iCs/>
        </w:rPr>
        <w:t xml:space="preserve">corporate financing</w:t>
      </w:r>
      <w:r>
        <w:t xml:space="preserve"> </w:t>
      </w:r>
      <w:r>
        <w:t xml:space="preserve">bukan tanda proyek lemah, melainkan jawaban berbeda atas pertanyaan yang berbeda.</w:t>
      </w:r>
    </w:p>
    <w:bookmarkEnd w:id="26"/>
    <w:bookmarkStart w:id="34" w:name="faq-pertanyaan-yang-sering-diajukan"/>
    <w:p>
      <w:pPr>
        <w:pStyle w:val="Heading2"/>
      </w:pPr>
      <w:r>
        <w:t xml:space="preserve">FAQ (Pertanyaan yang Sering Diajukan)</w:t>
      </w:r>
    </w:p>
    <w:bookmarkStart w:id="27" w:name="Xf3ccd0a37d3fb4b315ac166ec7eef2650939845"/>
    <w:p>
      <w:pPr>
        <w:pStyle w:val="Heading3"/>
      </w:pPr>
      <w:r>
        <w:t xml:space="preserve">Apa perbedaan</w:t>
      </w:r>
      <w:r>
        <w:t xml:space="preserve"> </w:t>
      </w:r>
      <w:r>
        <w:rPr>
          <w:i/>
          <w:iCs/>
        </w:rPr>
        <w:t xml:space="preserve">corporate financing</w:t>
      </w:r>
      <w:r>
        <w:t xml:space="preserve"> </w:t>
      </w:r>
      <w:r>
        <w:t xml:space="preserve">dan</w:t>
      </w:r>
      <w:r>
        <w:t xml:space="preserve"> </w:t>
      </w:r>
      <w:r>
        <w:rPr>
          <w:i/>
          <w:iCs/>
        </w:rPr>
        <w:t xml:space="preserve">project financing</w:t>
      </w:r>
      <w:r>
        <w:t xml:space="preserve">?</w:t>
      </w:r>
    </w:p>
    <w:p>
      <w:pPr>
        <w:pStyle w:val="FirstParagraph"/>
      </w:pPr>
      <w:r>
        <w:rPr>
          <w:i/>
          <w:iCs/>
        </w:rPr>
        <w:t xml:space="preserve">Corporate financing</w:t>
      </w:r>
      <w:r>
        <w:t xml:space="preserve"> </w:t>
      </w:r>
      <w:r>
        <w:t xml:space="preserve">membiayai proyek dari neraca sponsor, sehingga utangnya menempel penuh pada perusahaan.</w:t>
      </w:r>
      <w:r>
        <w:t xml:space="preserve"> </w:t>
      </w:r>
      <w:r>
        <w:rPr>
          <w:i/>
          <w:iCs/>
        </w:rPr>
        <w:t xml:space="preserve">Project financing</w:t>
      </w:r>
      <w:r>
        <w:t xml:space="preserve"> </w:t>
      </w:r>
      <w:r>
        <w:t xml:space="preserve">memakai entitas terpisah yang pelunasan utangnya bersandar pada arus kas proyek, dengan hak tagih ke sponsor terbatas atau nihil. Kerangka Kementerian Keuangan per 2026 menempatkan keduanya sebagai dua dari tiga opsi sumber pembiayaan infrastruktur, bersama</w:t>
      </w:r>
      <w:r>
        <w:t xml:space="preserve"> </w:t>
      </w:r>
      <w:r>
        <w:rPr>
          <w:i/>
          <w:iCs/>
        </w:rPr>
        <w:t xml:space="preserve">government financing</w:t>
      </w:r>
      <w:r>
        <w:t xml:space="preserve">.</w:t>
      </w:r>
    </w:p>
    <w:bookmarkEnd w:id="27"/>
    <w:bookmarkStart w:id="28" w:name="X86b18aae9f4e985a8942e7afbdb0bf7e32c1545"/>
    <w:p>
      <w:pPr>
        <w:pStyle w:val="Heading3"/>
      </w:pPr>
      <w:r>
        <w:t xml:space="preserve">Siapa yang membiayai proyek pada skema KPBU?</w:t>
      </w:r>
    </w:p>
    <w:p>
      <w:pPr>
        <w:pStyle w:val="FirstParagraph"/>
      </w:pPr>
      <w:r>
        <w:t xml:space="preserve">Pembiayaan dijalankan Badan Usaha Pelaksana yang dibentuk badan usaha pemenang lelang, dengan struktur</w:t>
      </w:r>
      <w:r>
        <w:t xml:space="preserve"> </w:t>
      </w:r>
      <w:r>
        <w:rPr>
          <w:i/>
          <w:iCs/>
        </w:rPr>
        <w:t xml:space="preserve">project financing</w:t>
      </w:r>
      <w:r>
        <w:t xml:space="preserve"> </w:t>
      </w:r>
      <w:r>
        <w:t xml:space="preserve">yang lazim didominasi utang. Dalam kerangka Kementerian Keuangan (akses 2026), yang dinilai</w:t>
      </w:r>
      <w:r>
        <w:t xml:space="preserve"> </w:t>
      </w:r>
      <w:r>
        <w:rPr>
          <w:i/>
          <w:iCs/>
        </w:rPr>
        <w:t xml:space="preserve">lender</w:t>
      </w:r>
      <w:r>
        <w:t xml:space="preserve"> </w:t>
      </w:r>
      <w:r>
        <w:t xml:space="preserve">sebelum masuk adalah proyeksi arus kas dan</w:t>
      </w:r>
      <w:r>
        <w:t xml:space="preserve"> </w:t>
      </w:r>
      <w:r>
        <w:rPr>
          <w:i/>
          <w:iCs/>
        </w:rPr>
        <w:t xml:space="preserve">bankability</w:t>
      </w:r>
      <w:r>
        <w:t xml:space="preserve"> </w:t>
      </w:r>
      <w:r>
        <w:t xml:space="preserve">proyeknya, bukan besar aset yang dimiliki entitas pelaksana.</w:t>
      </w:r>
    </w:p>
    <w:bookmarkEnd w:id="28"/>
    <w:bookmarkStart w:id="29" w:name="Xb029ad4c9f4c36e8f15b6ff6f78b5332680c162"/>
    <w:p>
      <w:pPr>
        <w:pStyle w:val="Heading3"/>
      </w:pPr>
      <w:r>
        <w:t xml:space="preserve">Apa itu Badan Usaha Pelaksana dalam pembiayaan proyek?</w:t>
      </w:r>
    </w:p>
    <w:p>
      <w:pPr>
        <w:pStyle w:val="FirstParagraph"/>
      </w:pPr>
      <w:r>
        <w:t xml:space="preserve">Badan Usaha Pelaksana adalah entitas yang dibentuk pemenang lelang KPBU untuk melaksanakan proyek, dari konstruksi hingga operasi dan pemeliharaan. Fungsinya setara</w:t>
      </w:r>
      <w:r>
        <w:t xml:space="preserve"> </w:t>
      </w:r>
      <w:r>
        <w:rPr>
          <w:i/>
          <w:iCs/>
        </w:rPr>
        <w:t xml:space="preserve">special purpose vehicle</w:t>
      </w:r>
      <w:r>
        <w:t xml:space="preserve">: aset dan sumber dana proyek dicatat terpisah dari neraca sponsor, dan umumnya hanya ada sepanjang masa proyek. Payung hukumnya Peraturan Presiden No. 38 Tahun 2015.</w:t>
      </w:r>
    </w:p>
    <w:bookmarkEnd w:id="29"/>
    <w:bookmarkStart w:id="30" w:name="X41c7f248443663961b50b035229ef9820393a2e"/>
    <w:p>
      <w:pPr>
        <w:pStyle w:val="Heading3"/>
      </w:pPr>
      <w:r>
        <w:t xml:space="preserve">Berapa komposisi utang dan ekuitas yang lazim pada proyek infrastruktur?</w:t>
      </w:r>
    </w:p>
    <w:p>
      <w:pPr>
        <w:pStyle w:val="FirstParagraph"/>
      </w:pPr>
      <w:r>
        <w:t xml:space="preserve">Kementerian Keuangan menyebut kisaran lazim 70–80% utang dan 20–30% ekuitas dari total biaya proyek pada skema KPBU (diakses 2026). Kisaran itu praktik pasar, bukan ambang yang diwajibkan regulasi: komposisi akhir tiap proyek keluar dari penilaian</w:t>
      </w:r>
      <w:r>
        <w:t xml:space="preserve"> </w:t>
      </w:r>
      <w:r>
        <w:rPr>
          <w:i/>
          <w:iCs/>
        </w:rPr>
        <w:t xml:space="preserve">lender</w:t>
      </w:r>
      <w:r>
        <w:t xml:space="preserve"> </w:t>
      </w:r>
      <w:r>
        <w:t xml:space="preserve">atas proyeksi arus kas, alokasi risiko kontraktual, dan kepastian sumber pendapatannya.</w:t>
      </w:r>
    </w:p>
    <w:bookmarkEnd w:id="30"/>
    <w:bookmarkStart w:id="31" w:name="X78035d3b978dc814c27e744255ef76eb9fd5489"/>
    <w:p>
      <w:pPr>
        <w:pStyle w:val="Heading3"/>
      </w:pPr>
      <w:r>
        <w:t xml:space="preserve">Apa arti</w:t>
      </w:r>
      <w:r>
        <w:t xml:space="preserve"> </w:t>
      </w:r>
      <w:r>
        <w:rPr>
          <w:i/>
          <w:iCs/>
        </w:rPr>
        <w:t xml:space="preserve">non-recourse</w:t>
      </w:r>
      <w:r>
        <w:t xml:space="preserve"> </w:t>
      </w:r>
      <w:r>
        <w:t xml:space="preserve">dalam pembiayaan proyek?</w:t>
      </w:r>
    </w:p>
    <w:p>
      <w:pPr>
        <w:pStyle w:val="FirstParagraph"/>
      </w:pPr>
      <w:r>
        <w:rPr>
          <w:i/>
          <w:iCs/>
        </w:rPr>
        <w:t xml:space="preserve">Non-recourse</w:t>
      </w:r>
      <w:r>
        <w:t xml:space="preserve"> </w:t>
      </w:r>
      <w:r>
        <w:t xml:space="preserve">berarti</w:t>
      </w:r>
      <w:r>
        <w:t xml:space="preserve"> </w:t>
      </w:r>
      <w:r>
        <w:rPr>
          <w:i/>
          <w:iCs/>
        </w:rPr>
        <w:t xml:space="preserve">lender</w:t>
      </w:r>
      <w:r>
        <w:t xml:space="preserve"> </w:t>
      </w:r>
      <w:r>
        <w:t xml:space="preserve">hanya dapat menagih pelunasan dari aset dan arus kas proyek, tanpa hak menagih aset lain milik sponsor bila proyek gagal bayar. Variannya,</w:t>
      </w:r>
      <w:r>
        <w:t xml:space="preserve"> </w:t>
      </w:r>
      <w:r>
        <w:rPr>
          <w:i/>
          <w:iCs/>
        </w:rPr>
        <w:t xml:space="preserve">limited recourse</w:t>
      </w:r>
      <w:r>
        <w:t xml:space="preserve">, memberi klaim terbatas ke sponsor pada situasi tertentu, misalnya selama konstruksi. Struktur murni tanpa hak tagih jarang ditemui pada proyek riil.</w:t>
      </w:r>
    </w:p>
    <w:bookmarkEnd w:id="31"/>
    <w:bookmarkStart w:id="32" w:name="apa-itu-bankability-proyek-infrastruktur"/>
    <w:p>
      <w:pPr>
        <w:pStyle w:val="Heading3"/>
      </w:pPr>
      <w:r>
        <w:t xml:space="preserve">Apa itu</w:t>
      </w:r>
      <w:r>
        <w:t xml:space="preserve"> </w:t>
      </w:r>
      <w:r>
        <w:rPr>
          <w:i/>
          <w:iCs/>
        </w:rPr>
        <w:t xml:space="preserve">bankability</w:t>
      </w:r>
      <w:r>
        <w:t xml:space="preserve"> </w:t>
      </w:r>
      <w:r>
        <w:t xml:space="preserve">proyek infrastruktur?</w:t>
      </w:r>
    </w:p>
    <w:p>
      <w:pPr>
        <w:pStyle w:val="FirstParagraph"/>
      </w:pPr>
      <w:r>
        <w:rPr>
          <w:i/>
          <w:iCs/>
        </w:rPr>
        <w:t xml:space="preserve">Bankability</w:t>
      </w:r>
      <w:r>
        <w:t xml:space="preserve"> </w:t>
      </w:r>
      <w:r>
        <w:t xml:space="preserve">adalah tingkat kelayakan proyek di mata</w:t>
      </w:r>
      <w:r>
        <w:t xml:space="preserve"> </w:t>
      </w:r>
      <w:r>
        <w:rPr>
          <w:i/>
          <w:iCs/>
        </w:rPr>
        <w:t xml:space="preserve">lender</w:t>
      </w:r>
      <w:r>
        <w:t xml:space="preserve"> </w:t>
      </w:r>
      <w:r>
        <w:t xml:space="preserve">untuk dibiayai, dinilai dari kepastian arus kas, kejelasan alokasi risiko dalam kontrak, dan kredibilitas para pihak. Proyek dengan kewajiban sisi pemerintah yang tidak pasti sulit mencapai</w:t>
      </w:r>
      <w:r>
        <w:t xml:space="preserve"> </w:t>
      </w:r>
      <w:r>
        <w:rPr>
          <w:i/>
          <w:iCs/>
        </w:rPr>
        <w:t xml:space="preserve">bankability</w:t>
      </w:r>
      <w:r>
        <w:t xml:space="preserve"> </w:t>
      </w:r>
      <w:r>
        <w:t xml:space="preserve">memadai; karena itu penjaminan pemerintah kerap dipakai sebagai</w:t>
      </w:r>
      <w:r>
        <w:t xml:space="preserve"> </w:t>
      </w:r>
      <w:r>
        <w:rPr>
          <w:i/>
          <w:iCs/>
        </w:rPr>
        <w:t xml:space="preserve">credit enhancement</w:t>
      </w:r>
      <w:r>
        <w:t xml:space="preserve"> </w:t>
      </w:r>
      <w:r>
        <w:t xml:space="preserve">pada proyek KPBU.</w:t>
      </w:r>
    </w:p>
    <w:bookmarkEnd w:id="32"/>
    <w:bookmarkStart w:id="33" w:name="Xcd4dccd68d4d76c7861186a407d03f9e95c1d88"/>
    <w:p>
      <w:pPr>
        <w:pStyle w:val="Heading3"/>
      </w:pPr>
      <w:r>
        <w:t xml:space="preserve">Apakah semua proyek infrastruktur cocok dibiayai secara</w:t>
      </w:r>
      <w:r>
        <w:t xml:space="preserve"> </w:t>
      </w:r>
      <w:r>
        <w:rPr>
          <w:i/>
          <w:iCs/>
        </w:rPr>
        <w:t xml:space="preserve">project finance</w:t>
      </w:r>
      <w:r>
        <w:t xml:space="preserve">?</w:t>
      </w:r>
    </w:p>
    <w:p>
      <w:pPr>
        <w:pStyle w:val="FirstParagraph"/>
      </w:pPr>
      <w:r>
        <w:t xml:space="preserve">Tidak. Struktur ini menuntut uji tuntas teknis, hukum, dan pemodelan keuangan berlapis serta pembentukan Badan Usaha Pelaksana, sehingga ongkos tetapnya baru sepadan pada proyek besar. Proyek kecil, sponsor yang bisa menarik dana lebih murah dari neracanya sendiri, arus kas yang terlalu tidak pasti, atau jadwal mendesak adalah situasi ketika</w:t>
      </w:r>
      <w:r>
        <w:t xml:space="preserve"> </w:t>
      </w:r>
      <w:r>
        <w:rPr>
          <w:i/>
          <w:iCs/>
        </w:rPr>
        <w:t xml:space="preserve">corporate financing</w:t>
      </w:r>
      <w:r>
        <w:t xml:space="preserve"> </w:t>
      </w:r>
      <w:r>
        <w:t xml:space="preserve">lebih masuk akal.</w:t>
      </w:r>
    </w:p>
    <w:bookmarkEnd w:id="33"/>
    <w:bookmarkEnd w:id="34"/>
    <w:bookmarkStart w:id="35" w:name="kesimpulan"/>
    <w:p>
      <w:pPr>
        <w:pStyle w:val="Heading2"/>
      </w:pPr>
      <w:r>
        <w:t xml:space="preserve">Kesimpulan</w:t>
      </w:r>
    </w:p>
    <w:p>
      <w:pPr>
        <w:pStyle w:val="FirstParagraph"/>
      </w:pPr>
      <w:r>
        <w:t xml:space="preserve">Pilihan struktur pembiayaan infrastruktur tidak punya jawaban universal. Yang ada adalah kecocokan antara ukuran proyek, kekuatan neraca, kepastian arus kas, dan waktu yang tersedia. Pada proyek KPBU berskala besar, kepastian kewajiban sisi pemerintah kerap menentukan apakah struktur</w:t>
      </w:r>
      <w:r>
        <w:t xml:space="preserve"> </w:t>
      </w:r>
      <w:r>
        <w:rPr>
          <w:i/>
          <w:iCs/>
        </w:rPr>
        <w:t xml:space="preserve">project finance</w:t>
      </w:r>
      <w:r>
        <w:t xml:space="preserve"> </w:t>
      </w:r>
      <w:r>
        <w:t xml:space="preserve">bisa berdiri sama sekali. Peran penjamin tidak berhenti di penerbitan jaminan: PT PII juga mendampingi penyiapan dan strukturisasi transaksi hingga proyek sampai ke</w:t>
      </w:r>
      <w:r>
        <w:t xml:space="preserve"> </w:t>
      </w:r>
      <w:r>
        <w:rPr>
          <w:i/>
          <w:iCs/>
        </w:rPr>
        <w:t xml:space="preserve">financial close</w:t>
      </w:r>
      <w:r>
        <w:t xml:space="preserve">. Bila struktur proyek Anda masih terbuka, diskusi awal soal alokasi risiko biasanya jauh lebih murah daripada merevisi model keuangan di tahap akhir.</w:t>
      </w:r>
    </w:p>
    <w:p>
      <w:pPr>
        <w:pStyle w:val="BodyText"/>
      </w:pPr>
      <w:r>
        <w:t xml:space="preserve">Bagaimana penjaminan pemerintah menopang struktur</w:t>
      </w:r>
      <w:r>
        <w:t xml:space="preserve"> </w:t>
      </w:r>
      <w:r>
        <w:rPr>
          <w:i/>
          <w:iCs/>
        </w:rPr>
        <w:t xml:space="preserve">project finance</w:t>
      </w:r>
      <w:r>
        <w:t xml:space="preserve"> </w:t>
      </w:r>
      <w:r>
        <w:t xml:space="preserve">sebuah proyek KPBU diuraikan lebih lengkap di ptpii.co.id.</w:t>
      </w:r>
    </w:p>
    <w:bookmarkEnd w:id="35"/>
    <w:bookmarkEnd w:id="36"/>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8" Target="https://iptek.its.ac.id/index.php/jps/article/download/3136/2409" TargetMode="External" /><Relationship Type="http://schemas.openxmlformats.org/officeDocument/2006/relationships/hyperlink" Id="rId20" Target="https://kpbu.kemenkeu.go.id" TargetMode="External" /><Relationship Type="http://schemas.openxmlformats.org/officeDocument/2006/relationships/hyperlink" Id="rId24" Target="https://www.ptpii.co.id/kpbu" TargetMode="External" /><Relationship Type="http://schemas.openxmlformats.org/officeDocument/2006/relationships/hyperlink" Id="rId17" Target="https://www.ptpii.co.id/pembiayaan-kreatif" TargetMode="External" /><Relationship Type="http://schemas.openxmlformats.org/officeDocument/2006/relationships/hyperlink" Id="rId21" Target="https://www.ptpii.co.id/public-private-partnership" TargetMode="External" /></Relationships>
</file>

<file path=word/_rels/footnotes.xml.rels><?xml version="1.0" encoding="UTF-8"?><Relationships xmlns="http://schemas.openxmlformats.org/package/2006/relationships"><Relationship Type="http://schemas.openxmlformats.org/officeDocument/2006/relationships/hyperlink" Id="rId18" Target="https://iptek.its.ac.id/index.php/jps/article/download/3136/2409" TargetMode="External" /><Relationship Type="http://schemas.openxmlformats.org/officeDocument/2006/relationships/hyperlink" Id="rId20" Target="https://kpbu.kemenkeu.go.id" TargetMode="External" /><Relationship Type="http://schemas.openxmlformats.org/officeDocument/2006/relationships/hyperlink" Id="rId24" Target="https://www.ptpii.co.id/kpbu" TargetMode="External" /><Relationship Type="http://schemas.openxmlformats.org/officeDocument/2006/relationships/hyperlink" Id="rId17" Target="https://www.ptpii.co.id/pembiayaan-kreatif" TargetMode="External" /><Relationship Type="http://schemas.openxmlformats.org/officeDocument/2006/relationships/hyperlink" Id="rId21" Target="https://www.ptpii.co.id/public-private-partnershi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2026-08-12T09:08:34Z</dcterms:created>
  <dcterms:modified xsi:type="dcterms:W3CDTF">2026-08-12T09:08:34Z</dcterms:modified>
</cp:coreProperties>
</file>

<file path=docProps/custom.xml><?xml version="1.0" encoding="utf-8"?>
<Properties xmlns="http://schemas.openxmlformats.org/officeDocument/2006/custom-properties" xmlns:vt="http://schemas.openxmlformats.org/officeDocument/2006/docPropsVTypes"/>
</file>