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"Pembiayaan Kreatif Daerah: Peta 6 Instrumen di Luar APBD"</w:t>
      </w:r>
      <w:r>
        <w:br/>
      </w:r>
      <w:r>
        <w:rPr>
          <w:rStyle w:val="FunctionTok"/>
        </w:rPr>
        <w:t xml:space="preserve">meta_title</w:t>
      </w:r>
      <w:r>
        <w:rPr>
          <w:rStyle w:val="KeywordTok"/>
        </w:rPr>
        <w:t xml:space="preserve">:</w:t>
      </w:r>
      <w:r>
        <w:rPr>
          <w:rStyle w:val="AttributeTok"/>
        </w:rPr>
        <w:t xml:space="preserve"> </w:t>
      </w:r>
      <w:r>
        <w:rPr>
          <w:rStyle w:val="StringTok"/>
        </w:rPr>
        <w:t xml:space="preserve">"Pembiayaan Kreatif Daerah: Peta 6 Instrumen di Luar APBD"</w:t>
      </w:r>
      <w:r>
        <w:br/>
      </w:r>
      <w:r>
        <w:rPr>
          <w:rStyle w:val="FunctionTok"/>
        </w:rPr>
        <w:t xml:space="preserve">meta_description</w:t>
      </w:r>
      <w:r>
        <w:rPr>
          <w:rStyle w:val="KeywordTok"/>
        </w:rPr>
        <w:t xml:space="preserve">:</w:t>
      </w:r>
      <w:r>
        <w:rPr>
          <w:rStyle w:val="AttributeTok"/>
        </w:rPr>
        <w:t xml:space="preserve"> </w:t>
      </w:r>
      <w:r>
        <w:rPr>
          <w:rStyle w:val="StringTok"/>
        </w:rPr>
        <w:t xml:space="preserve">"Pembiayaan kreatif infrastruktur daerah: peta enam instrumen di luar APBD, dasar hukumnya, mana yang menambah utang daerah, dan status pemakaiannya."</w:t>
      </w:r>
      <w:r>
        <w:br/>
      </w:r>
      <w:r>
        <w:rPr>
          <w:rStyle w:val="FunctionTok"/>
        </w:rPr>
        <w:t xml:space="preserve">slug</w:t>
      </w:r>
      <w:r>
        <w:rPr>
          <w:rStyle w:val="KeywordTok"/>
        </w:rPr>
        <w:t xml:space="preserve">:</w:t>
      </w:r>
      <w:r>
        <w:rPr>
          <w:rStyle w:val="AttributeTok"/>
        </w:rPr>
        <w:t xml:space="preserve"> </w:t>
      </w:r>
      <w:r>
        <w:rPr>
          <w:rStyle w:val="StringTok"/>
        </w:rPr>
        <w:t xml:space="preserve">"pembiayaan-kreatif-daerah-instrumen-di-luar-apbd"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"Pembiayaan Kreatif"</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"pembiayaan kreatif daerah"</w:t>
      </w:r>
      <w:r>
        <w:br/>
      </w:r>
      <w:r>
        <w:rPr>
          <w:rStyle w:val="AttributeTok"/>
        </w:rPr>
        <w:t xml:space="preserve">  </w:t>
      </w:r>
      <w:r>
        <w:rPr>
          <w:rStyle w:val="KeywordTok"/>
        </w:rPr>
        <w:t xml:space="preserve">-</w:t>
      </w:r>
      <w:r>
        <w:rPr>
          <w:rStyle w:val="AttributeTok"/>
        </w:rPr>
        <w:t xml:space="preserve"> </w:t>
      </w:r>
      <w:r>
        <w:rPr>
          <w:rStyle w:val="StringTok"/>
        </w:rPr>
        <w:t xml:space="preserve">"pembiayaan infrastruktur daerah"</w:t>
      </w:r>
      <w:r>
        <w:br/>
      </w:r>
      <w:r>
        <w:rPr>
          <w:rStyle w:val="AttributeTok"/>
        </w:rPr>
        <w:t xml:space="preserve">  </w:t>
      </w:r>
      <w:r>
        <w:rPr>
          <w:rStyle w:val="KeywordTok"/>
        </w:rPr>
        <w:t xml:space="preserve">-</w:t>
      </w:r>
      <w:r>
        <w:rPr>
          <w:rStyle w:val="AttributeTok"/>
        </w:rPr>
        <w:t xml:space="preserve"> </w:t>
      </w:r>
      <w:r>
        <w:rPr>
          <w:rStyle w:val="StringTok"/>
        </w:rPr>
        <w:t xml:space="preserve">"creative financing pemerintah daerah"</w:t>
      </w:r>
      <w:r>
        <w:br/>
      </w:r>
      <w:r>
        <w:rPr>
          <w:rStyle w:val="AttributeTok"/>
        </w:rPr>
        <w:t xml:space="preserve">  </w:t>
      </w:r>
      <w:r>
        <w:rPr>
          <w:rStyle w:val="KeywordTok"/>
        </w:rPr>
        <w:t xml:space="preserve">-</w:t>
      </w:r>
      <w:r>
        <w:rPr>
          <w:rStyle w:val="AttributeTok"/>
        </w:rPr>
        <w:t xml:space="preserve"> </w:t>
      </w:r>
      <w:r>
        <w:rPr>
          <w:rStyle w:val="StringTok"/>
        </w:rPr>
        <w:t xml:space="preserve">"keterbatasan APBD"</w:t>
      </w:r>
      <w:r>
        <w:br/>
      </w:r>
      <w:r>
        <w:rPr>
          <w:rStyle w:val="AttributeTok"/>
        </w:rPr>
        <w:t xml:space="preserve">  </w:t>
      </w:r>
      <w:r>
        <w:rPr>
          <w:rStyle w:val="KeywordTok"/>
        </w:rPr>
        <w:t xml:space="preserve">-</w:t>
      </w:r>
      <w:r>
        <w:rPr>
          <w:rStyle w:val="AttributeTok"/>
        </w:rPr>
        <w:t xml:space="preserve"> </w:t>
      </w:r>
      <w:r>
        <w:rPr>
          <w:rStyle w:val="StringTok"/>
        </w:rPr>
        <w:t xml:space="preserve">"UU HKPD"</w:t>
      </w:r>
      <w:r>
        <w:br/>
      </w:r>
      <w:r>
        <w:rPr>
          <w:rStyle w:val="AttributeTok"/>
        </w:rPr>
        <w:t xml:space="preserve">  </w:t>
      </w:r>
      <w:r>
        <w:rPr>
          <w:rStyle w:val="KeywordTok"/>
        </w:rPr>
        <w:t xml:space="preserve">-</w:t>
      </w:r>
      <w:r>
        <w:rPr>
          <w:rStyle w:val="AttributeTok"/>
        </w:rPr>
        <w:t xml:space="preserve"> </w:t>
      </w:r>
      <w:r>
        <w:rPr>
          <w:rStyle w:val="StringTok"/>
        </w:rPr>
        <w:t xml:space="preserve">"sinergi pendanaan"</w:t>
      </w:r>
      <w:r>
        <w:br/>
      </w:r>
      <w:r>
        <w:rPr>
          <w:rStyle w:val="AttributeTok"/>
        </w:rPr>
        <w:t xml:space="preserve">  </w:t>
      </w:r>
      <w:r>
        <w:rPr>
          <w:rStyle w:val="KeywordTok"/>
        </w:rPr>
        <w:t xml:space="preserve">-</w:t>
      </w:r>
      <w:r>
        <w:rPr>
          <w:rStyle w:val="AttributeTok"/>
        </w:rPr>
        <w:t xml:space="preserve"> </w:t>
      </w:r>
      <w:r>
        <w:rPr>
          <w:rStyle w:val="StringTok"/>
        </w:rPr>
        <w:t xml:space="preserve">"KPBU daerah"</w:t>
      </w:r>
      <w:r>
        <w:br/>
      </w:r>
      <w:r>
        <w:rPr>
          <w:rStyle w:val="AttributeTok"/>
        </w:rPr>
        <w:t xml:space="preserve">  </w:t>
      </w:r>
      <w:r>
        <w:rPr>
          <w:rStyle w:val="KeywordTok"/>
        </w:rPr>
        <w:t xml:space="preserve">-</w:t>
      </w:r>
      <w:r>
        <w:rPr>
          <w:rStyle w:val="AttributeTok"/>
        </w:rPr>
        <w:t xml:space="preserve"> </w:t>
      </w:r>
      <w:r>
        <w:rPr>
          <w:rStyle w:val="StringTok"/>
        </w:rPr>
        <w:t xml:space="preserve">"pinjaman daerah"</w:t>
      </w:r>
      <w:r>
        <w:br/>
      </w:r>
      <w:r>
        <w:rPr>
          <w:rStyle w:val="AttributeTok"/>
        </w:rPr>
        <w:t xml:space="preserve">  </w:t>
      </w:r>
      <w:r>
        <w:rPr>
          <w:rStyle w:val="KeywordTok"/>
        </w:rPr>
        <w:t xml:space="preserve">-</w:t>
      </w:r>
      <w:r>
        <w:rPr>
          <w:rStyle w:val="AttributeTok"/>
        </w:rPr>
        <w:t xml:space="preserve"> </w:t>
      </w:r>
      <w:r>
        <w:rPr>
          <w:rStyle w:val="StringTok"/>
        </w:rPr>
        <w:t xml:space="preserve">"obligasi daerah dan sukuk daerah"</w:t>
      </w:r>
      <w:r>
        <w:br/>
      </w:r>
      <w:r>
        <w:rPr>
          <w:rStyle w:val="AttributeTok"/>
        </w:rPr>
        <w:t xml:space="preserve">  </w:t>
      </w:r>
      <w:r>
        <w:rPr>
          <w:rStyle w:val="KeywordTok"/>
        </w:rPr>
        <w:t xml:space="preserve">-</w:t>
      </w:r>
      <w:r>
        <w:rPr>
          <w:rStyle w:val="AttributeTok"/>
        </w:rPr>
        <w:t xml:space="preserve"> </w:t>
      </w:r>
      <w:r>
        <w:rPr>
          <w:rStyle w:val="StringTok"/>
        </w:rPr>
        <w:t xml:space="preserve">"Land Value Capture"</w:t>
      </w:r>
      <w:r>
        <w:br/>
      </w:r>
      <w:r>
        <w:rPr>
          <w:rStyle w:val="AttributeTok"/>
        </w:rPr>
        <w:t xml:space="preserve">  </w:t>
      </w:r>
      <w:r>
        <w:rPr>
          <w:rStyle w:val="KeywordTok"/>
        </w:rPr>
        <w:t xml:space="preserve">-</w:t>
      </w:r>
      <w:r>
        <w:rPr>
          <w:rStyle w:val="AttributeTok"/>
        </w:rPr>
        <w:t xml:space="preserve"> </w:t>
      </w:r>
      <w:r>
        <w:rPr>
          <w:rStyle w:val="StringTok"/>
        </w:rPr>
        <w:t xml:space="preserve">"dana abadi daerah"</w:t>
      </w:r>
      <w:r>
        <w:br/>
      </w:r>
      <w:r>
        <w:rPr>
          <w:rStyle w:val="AttributeTok"/>
        </w:rPr>
        <w:t xml:space="preserve">  </w:t>
      </w:r>
      <w:r>
        <w:rPr>
          <w:rStyle w:val="KeywordTok"/>
        </w:rPr>
        <w:t xml:space="preserve">-</w:t>
      </w:r>
      <w:r>
        <w:rPr>
          <w:rStyle w:val="AttributeTok"/>
        </w:rPr>
        <w:t xml:space="preserve"> </w:t>
      </w:r>
      <w:r>
        <w:rPr>
          <w:rStyle w:val="StringTok"/>
        </w:rPr>
        <w:t xml:space="preserve">"Availability Payment"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"pembiayaan kreatif untuk infrastruktur daerah"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"skema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"https://peraturan.go.id/id/uu-no-1-tahun-2022"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"Status berlaku UU No. 1 Tahun 2022 (HKPD) dan Pasal 167 tentang Sinergi Pendanaan"</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"https://ojk.go.id/id/regulasi/Pages/Penerbitan-dan-Pelaporan-Obligasi-Daerah-dan-Sukuk-Daerah.aspx"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"POJK No. 10 Tahun 2024 sebagai kerangka hukum obligasi dan sukuk daerah yang berlaku"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"https://djpk.kemenkeu.go.id/?p=76326"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"Posisi DJPK Kemenkeu (26 Mei 2026): hambatan utama adalah kesiapan teknis pemda, bukan ketiadaan instrumen"</w:t>
      </w:r>
      <w:r>
        <w:br/>
      </w:r>
      <w:r>
        <w:rPr>
          <w:rStyle w:val="FunctionTok"/>
        </w:rPr>
        <w:t xml:space="preserve">brief_id</w:t>
      </w:r>
      <w:r>
        <w:rPr>
          <w:rStyle w:val="KeywordTok"/>
        </w:rPr>
        <w:t xml:space="preserve">:</w:t>
      </w:r>
      <w:r>
        <w:rPr>
          <w:rStyle w:val="AttributeTok"/>
        </w:rPr>
        <w:t xml:space="preserve"> </w:t>
      </w:r>
      <w:r>
        <w:rPr>
          <w:rStyle w:val="StringTok"/>
        </w:rPr>
        <w:t xml:space="preserve">"pembiayaan-kreatif-01"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"2026-08-12"</w:t>
      </w:r>
      <w:r>
        <w:br/>
      </w:r>
      <w:r>
        <w:rPr>
          <w:rStyle w:val="FunctionTok"/>
        </w:rPr>
        <w:t xml:space="preserve">word_count</w:t>
      </w:r>
      <w:r>
        <w:rPr>
          <w:rStyle w:val="KeywordTok"/>
        </w:rPr>
        <w:t xml:space="preserve">:</w:t>
      </w:r>
      <w:r>
        <w:rPr>
          <w:rStyle w:val="AttributeTok"/>
        </w:rPr>
        <w:t xml:space="preserve"> </w:t>
      </w:r>
      <w:r>
        <w:rPr>
          <w:rStyle w:val="DecValTok"/>
        </w:rPr>
        <w:t xml:space="preserve">1767</w:t>
      </w:r>
    </w:p>
    <w:p>
      <w:r>
        <w:pict>
          <v:rect style="width:0;height:1.5pt" o:hralign="center" o:hrstd="t" o:hr="t"/>
        </w:pict>
      </w:r>
    </w:p>
    <w:bookmarkEnd w:id="16"/>
    <w:bookmarkStart w:id="36" w:name="X498450af26a21581afd8fc711960daf60faecc8"/>
    <w:p>
      <w:pPr>
        <w:pStyle w:val="Heading1"/>
      </w:pPr>
      <w:r>
        <w:t xml:space="preserve">Pembiayaan Kreatif Daerah: Peta 6 Instrumen di Luar APBD</w:t>
      </w:r>
    </w:p>
    <w:p>
      <w:pPr>
        <w:pStyle w:val="FirstParagraph"/>
      </w:pPr>
      <w:r>
        <w:t xml:space="preserve">Anggaran ditutup, daftar usulan infrastruktur di RPJMD tidak. Tim keuangan daerah membuka pagu Transfer ke Daerah 2026 yang lebih ketat dibanding 2025, lalu mulai memilih proyek mana yang dicoret. Pertanyaan yang lebih berguna justru datang setelahnya: di luar APBD murni, ada berapa jalur pendanaan yang sah bagi pemerintah daerah? Artikel ini memetakan enam instrumen</w:t>
      </w:r>
      <w:r>
        <w:t xml:space="preserve"> </w:t>
      </w:r>
      <w:hyperlink r:id="rId17">
        <w:r>
          <w:rPr>
            <w:rStyle w:val="Hyperlink"/>
          </w:rPr>
          <w:t xml:space="preserve">pembiayaan kreatif untuk infrastruktur daerah</w:t>
        </w:r>
      </w:hyperlink>
      <w:r>
        <w:t xml:space="preserve">, dari KPBU hingga dana abadi daerah, berikut dasar hukum, penanggung kewajiban, dan kolom yang paling sering ditanyakan pimpinan daerah: apakah instrumen ini menambah utang daerah.</w:t>
      </w:r>
    </w:p>
    <w:p>
      <w:pPr>
        <w:pStyle w:val="BlockText"/>
      </w:pPr>
      <w:r>
        <w:rPr>
          <w:b/>
          <w:bCs/>
        </w:rPr>
        <w:t xml:space="preserve">Ringkas:</w:t>
      </w:r>
      <w:r>
        <w:t xml:space="preserve"> </w:t>
      </w:r>
      <w:r>
        <w:t xml:space="preserve">Pembiayaan kreatif dalam konteks infrastruktur daerah adalah pendekatan pendanaan yang memadukan Anggaran Pendapatan dan Belanja Daerah (APBD) dengan sumber di luar APBD, yaitu swasta, BUMN, BUMD, atau pemerintah daerah lain, untuk mempercepat penyediaan infrastruktur publik. Kerja Sama Pemerintah dengan Badan Usaha (KPBU) adalah salah satu bentuknya, bukan satu-satunya.</w:t>
      </w:r>
    </w:p>
    <w:bookmarkStart w:id="19" w:name="Xe98cfba9fdfdc2fad797e0128ef660dc54f2ba8"/>
    <w:p>
      <w:pPr>
        <w:pStyle w:val="Heading2"/>
      </w:pPr>
      <w:r>
        <w:t xml:space="preserve">Apa itu pembiayaan kreatif dalam pembangunan infrastruktur daerah?</w:t>
      </w:r>
    </w:p>
    <w:p>
      <w:pPr>
        <w:pStyle w:val="FirstParagraph"/>
      </w:pPr>
      <w:r>
        <w:t xml:space="preserve">Pembiayaan kreatif adalah sebuah pendekatan, bukan satu produk tunggal. Ia menempatkan APBD sebagai salah satu sumber, lalu memadukannya dengan dana dari luar APBD. Payung hukumnya ada pada Pasal 167</w:t>
      </w:r>
      <w:r>
        <w:t xml:space="preserve"> </w:t>
      </w:r>
      <w:hyperlink r:id="rId18">
        <w:r>
          <w:rPr>
            <w:rStyle w:val="Hyperlink"/>
          </w:rPr>
          <w:t xml:space="preserve">Undang-Undang No. 1 Tahun 2022 tentang Hubungan Keuangan antara Pemerintah Pusat dan Pemerintahan Daerah</w:t>
        </w:r>
      </w:hyperlink>
      <w:r>
        <w:t xml:space="preserve"> </w:t>
      </w:r>
      <w:r>
        <w:t xml:space="preserve">(HKPD) yang mengatur Sinergi Pendanaan.</w:t>
      </w:r>
    </w:p>
    <w:p>
      <w:pPr>
        <w:pStyle w:val="BodyText"/>
      </w:pPr>
      <w:r>
        <w:t xml:space="preserve">Alasannya aritmetis. Kebutuhan investasi infrastruktur nasional pada RPJMN 2025–2029 diperkirakan melampaui Rp 10.303 triliun, sementara kapasitas fiskal pemerintah (APBN dan APBD digabung) hanya menutup sekitar 40% dari angka itu (Kementerian Koordinator Bidang Perekonomian, 24 September 2025). Sisanya harus datang dari tempat lain, atau proyeknya tidak jadi.</w:t>
      </w:r>
    </w:p>
    <w:p>
      <w:pPr>
        <w:pStyle w:val="BodyText"/>
      </w:pPr>
      <w:r>
        <w:t xml:space="preserve">UU HKPD memisahkan dua kelompok sumber dana yang boleh disinergikan:</w:t>
      </w:r>
    </w:p>
    <w:p>
      <w:pPr>
        <w:pStyle w:val="Compact"/>
        <w:numPr>
          <w:ilvl w:val="0"/>
          <w:numId w:val="1001"/>
        </w:numPr>
      </w:pPr>
      <w:r>
        <w:rPr>
          <w:b/>
          <w:bCs/>
        </w:rPr>
        <w:t xml:space="preserve">Bersumber dari APBD</w:t>
      </w:r>
      <w:r>
        <w:t xml:space="preserve">: Pendapatan Asli Daerah (PAD), Transfer ke Daerah (TKD), dan Pembiayaan Utang Daerah.</w:t>
      </w:r>
    </w:p>
    <w:p>
      <w:pPr>
        <w:pStyle w:val="Compact"/>
        <w:numPr>
          <w:ilvl w:val="0"/>
          <w:numId w:val="1001"/>
        </w:numPr>
      </w:pPr>
      <w:r>
        <w:rPr>
          <w:b/>
          <w:bCs/>
        </w:rPr>
        <w:t xml:space="preserve">Bersumber dari luar APBD</w:t>
      </w:r>
      <w:r>
        <w:t xml:space="preserve">: kerja sama dengan badan usaha swasta, BUMN, BUMD, dan/atau pemerintah daerah lain.</w:t>
      </w:r>
    </w:p>
    <w:p>
      <w:pPr>
        <w:pStyle w:val="FirstParagraph"/>
      </w:pPr>
      <w:r>
        <w:t xml:space="preserve">Aturan pelaksananya adalah Peraturan Pemerintah No. 1 Tahun 2024 tentang Harmonisasi Kebijakan Fiskal Nasional (ditetapkan 2 Januari 2024), yang mencabut PP No. 56 Tahun 2018 tentang Pinjaman Daerah. Kajian yang masih merujuk PP 56/2018 perlu diperbarui.</w:t>
      </w:r>
    </w:p>
    <w:bookmarkEnd w:id="19"/>
    <w:bookmarkStart w:id="21" w:name="Xd8d831922670dfc1e7ab284becfe2d0a57a9446"/>
    <w:p>
      <w:pPr>
        <w:pStyle w:val="Heading2"/>
      </w:pPr>
      <w:r>
        <w:t xml:space="preserve">Enam instrumen pembiayaan kreatif yang tersedia bagi pemerintah daerah</w:t>
      </w:r>
    </w:p>
    <w:p>
      <w:pPr>
        <w:pStyle w:val="FirstParagraph"/>
      </w:pPr>
      <w:r>
        <w:t xml:space="preserve">Ada enam instrumen utama di luar APBD murni: KPBU/KPDBU, pinjaman daerah, obligasi dan sukuk daerah, sinergi pendanaan, Land Value Capture, serta dana abadi daerah. Tiga di antaranya tidak menambah utang daerah, dua jelas menambah, dan satu bergantung pada komponen di dalamnya. Tabel berikut membandingkannya berdampingan.</w:t>
      </w:r>
    </w:p>
    <w:p>
      <w:pPr>
        <w:pStyle w:val="BodyText"/>
      </w:pPr>
      <w:r>
        <w:t xml:space="preserve">Baris pertama tabel adalah</w:t>
      </w:r>
      <w:r>
        <w:t xml:space="preserve"> </w:t>
      </w:r>
      <w:hyperlink r:id="rId20">
        <w:r>
          <w:rPr>
            <w:rStyle w:val="Hyperlink"/>
          </w:rPr>
          <w:t xml:space="preserve">skema KPBU</w:t>
        </w:r>
      </w:hyperlink>
      <w:r>
        <w:t xml:space="preserve">, instrumen yang paling banyak dibahas dalam kebijakan pembiayaan kreatif daerah. Badan usaha membangun, membiayai, dan mengoperasikan aset; pemerintah daerah selaku PJPK (Penanggung Jawab Proyek Kerja Sama) membeli layanannya melalui</w:t>
      </w:r>
      <w:r>
        <w:t xml:space="preserve"> </w:t>
      </w:r>
      <w:r>
        <w:rPr>
          <w:i/>
          <w:iCs/>
        </w:rPr>
        <w:t xml:space="preserve">Availability Payment</w:t>
      </w:r>
      <w:r>
        <w:t xml:space="preserve"> </w:t>
      </w:r>
      <w:r>
        <w:t xml:space="preserve">(pembayaran ketersediaan layanan), atau badan usaha memungut tarif langsung dari pengguna.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w:t>
            </w:r>
          </w:p>
        </w:tc>
        <w:tc>
          <w:tcPr/>
          <w:p>
            <w:pPr>
              <w:pStyle w:val="Compact"/>
            </w:pPr>
            <w:r>
              <w:t xml:space="preserve">Dasar hukum (tahun)</w:t>
            </w:r>
          </w:p>
        </w:tc>
        <w:tc>
          <w:tcPr/>
          <w:p>
            <w:pPr>
              <w:pStyle w:val="Compact"/>
            </w:pPr>
            <w:r>
              <w:t xml:space="preserve">Siapa menanggung kewajiban</w:t>
            </w:r>
          </w:p>
        </w:tc>
        <w:tc>
          <w:tcPr/>
          <w:p>
            <w:pPr>
              <w:pStyle w:val="Compact"/>
            </w:pPr>
            <w:r>
              <w:t xml:space="preserve">Menambah utang daerah?</w:t>
            </w:r>
          </w:p>
        </w:tc>
        <w:tc>
          <w:tcPr/>
          <w:p>
            <w:pPr>
              <w:pStyle w:val="Compact"/>
            </w:pPr>
            <w:r>
              <w:t xml:space="preserve">Kapan cocok dipakai</w:t>
            </w:r>
          </w:p>
        </w:tc>
        <w:tc>
          <w:tcPr/>
          <w:p>
            <w:pPr>
              <w:pStyle w:val="Compact"/>
            </w:pPr>
            <w:r>
              <w:t xml:space="preserve">Status pemakaian</w:t>
            </w:r>
          </w:p>
        </w:tc>
      </w:tr>
      <w:tr>
        <w:tc>
          <w:tcPr/>
          <w:p>
            <w:pPr>
              <w:pStyle w:val="Compact"/>
            </w:pPr>
            <w:r>
              <w:rPr>
                <w:b/>
                <w:bCs/>
              </w:rPr>
              <w:t xml:space="preserve">KPBU / KPDBU</w:t>
            </w:r>
          </w:p>
        </w:tc>
        <w:tc>
          <w:tcPr/>
          <w:p>
            <w:pPr>
              <w:pStyle w:val="Compact"/>
            </w:pPr>
            <w:r>
              <w:t xml:space="preserve">Perpres 38/2015; Permendagri 96/2016; PMK 68/2024</w:t>
            </w:r>
          </w:p>
        </w:tc>
        <w:tc>
          <w:tcPr/>
          <w:p>
            <w:pPr>
              <w:pStyle w:val="Compact"/>
            </w:pPr>
            <w:r>
              <w:t xml:space="preserve">Badan usaha membangun dan mengoperasikan; pemda membayar Availability Payment, atau badan usaha memungut tarif pengguna</w:t>
            </w:r>
          </w:p>
        </w:tc>
        <w:tc>
          <w:tcPr/>
          <w:p>
            <w:pPr>
              <w:pStyle w:val="Compact"/>
            </w:pPr>
            <w:r>
              <w:rPr>
                <w:b/>
                <w:bCs/>
              </w:rPr>
              <w:t xml:space="preserve">Tidak.</w:t>
            </w:r>
            <w:r>
              <w:t xml:space="preserve"> </w:t>
            </w:r>
            <w:r>
              <w:t xml:space="preserve">Namun AP mengikat APBD lintas tahun anggaran</w:t>
            </w:r>
          </w:p>
        </w:tc>
        <w:tc>
          <w:tcPr/>
          <w:p>
            <w:pPr>
              <w:pStyle w:val="Compact"/>
            </w:pPr>
            <w:r>
              <w:t xml:space="preserve">Layanan publik berkontrak panjang: SPAM, penerangan jalan, pasar, persampahan</w:t>
            </w:r>
          </w:p>
        </w:tc>
        <w:tc>
          <w:tcPr/>
          <w:p>
            <w:pPr>
              <w:pStyle w:val="Compact"/>
            </w:pPr>
            <w:r>
              <w:t xml:space="preserve">Terbatas tapi berjalan; ada contoh operasional tingkat kabupaten sejak 2023</w:t>
            </w:r>
          </w:p>
        </w:tc>
      </w:tr>
      <w:tr>
        <w:tc>
          <w:tcPr/>
          <w:p>
            <w:pPr>
              <w:pStyle w:val="Compact"/>
            </w:pPr>
            <w:r>
              <w:rPr>
                <w:b/>
                <w:bCs/>
              </w:rPr>
              <w:t xml:space="preserve">Pinjaman Daerah</w:t>
            </w:r>
            <w:r>
              <w:t xml:space="preserve"> </w:t>
            </w:r>
            <w:r>
              <w:t xml:space="preserve">(konvensional &amp; syariah)</w:t>
            </w:r>
          </w:p>
        </w:tc>
        <w:tc>
          <w:tcPr/>
          <w:p>
            <w:pPr>
              <w:pStyle w:val="Compact"/>
            </w:pPr>
            <w:r>
              <w:t xml:space="preserve">PP 1/2024, menggantikan PP 56/2018</w:t>
            </w:r>
          </w:p>
        </w:tc>
        <w:tc>
          <w:tcPr/>
          <w:p>
            <w:pPr>
              <w:pStyle w:val="Compact"/>
            </w:pPr>
            <w:r>
              <w:t xml:space="preserve">Pemda melunasi pokok dan bunga atau imbal hasil dari APBD; perlu persetujuan DPRD</w:t>
            </w:r>
          </w:p>
        </w:tc>
        <w:tc>
          <w:tcPr/>
          <w:p>
            <w:pPr>
              <w:pStyle w:val="Compact"/>
            </w:pPr>
            <w:r>
              <w:rPr>
                <w:b/>
                <w:bCs/>
              </w:rPr>
              <w:t xml:space="preserve">Ya.</w:t>
            </w:r>
            <w:r>
              <w:t xml:space="preserve"> </w:t>
            </w:r>
            <w:r>
              <w:t xml:space="preserve">Tercatat sebagai Pembiayaan Utang Daerah</w:t>
            </w:r>
          </w:p>
        </w:tc>
        <w:tc>
          <w:tcPr/>
          <w:p>
            <w:pPr>
              <w:pStyle w:val="Compact"/>
            </w:pPr>
            <w:r>
              <w:t xml:space="preserve">Kebutuhan dana cepat, manfaat terukur, kapasitas fiskal cukup mencicil</w:t>
            </w:r>
          </w:p>
        </w:tc>
        <w:tc>
          <w:tcPr/>
          <w:p>
            <w:pPr>
              <w:pStyle w:val="Compact"/>
            </w:pPr>
            <w:r>
              <w:t xml:space="preserve">Sudah dipakai sejumlah pemda, antara lain lewat lembaga pembiayaan infrastruktur</w:t>
            </w:r>
          </w:p>
        </w:tc>
      </w:tr>
      <w:tr>
        <w:tc>
          <w:tcPr/>
          <w:p>
            <w:pPr>
              <w:pStyle w:val="Compact"/>
            </w:pPr>
            <w:r>
              <w:rPr>
                <w:b/>
                <w:bCs/>
              </w:rPr>
              <w:t xml:space="preserve">Obligasi &amp; Sukuk Daerah</w:t>
            </w:r>
          </w:p>
        </w:tc>
        <w:tc>
          <w:tcPr/>
          <w:p>
            <w:pPr>
              <w:pStyle w:val="Compact"/>
            </w:pPr>
            <w:r>
              <w:t xml:space="preserve">POJK 10/2024 (berlaku 9 Juli 2024); UU 1/2022</w:t>
            </w:r>
          </w:p>
        </w:tc>
        <w:tc>
          <w:tcPr/>
          <w:p>
            <w:pPr>
              <w:pStyle w:val="Compact"/>
            </w:pPr>
            <w:r>
              <w:t xml:space="preserve">Pemda penerbit membayar pokok dan kupon atau imbal hasil kepada investor</w:t>
            </w:r>
          </w:p>
        </w:tc>
        <w:tc>
          <w:tcPr/>
          <w:p>
            <w:pPr>
              <w:pStyle w:val="Compact"/>
            </w:pPr>
            <w:r>
              <w:rPr>
                <w:b/>
                <w:bCs/>
              </w:rPr>
              <w:t xml:space="preserve">Ya.</w:t>
            </w:r>
            <w:r>
              <w:t xml:space="preserve"> </w:t>
            </w:r>
            <w:r>
              <w:t xml:space="preserve">Bentuk surat berharga dari utang daerah</w:t>
            </w:r>
          </w:p>
        </w:tc>
        <w:tc>
          <w:tcPr/>
          <w:p>
            <w:pPr>
              <w:pStyle w:val="Compact"/>
            </w:pPr>
            <w:r>
              <w:t xml:space="preserve">Proyek besar</w:t>
            </w:r>
            <w:r>
              <w:t xml:space="preserve"> </w:t>
            </w:r>
            <w:r>
              <w:rPr>
                <w:i/>
                <w:iCs/>
              </w:rPr>
              <w:t xml:space="preserve">multiyears</w:t>
            </w:r>
            <w:r>
              <w:t xml:space="preserve"> </w:t>
            </w:r>
            <w:r>
              <w:t xml:space="preserve">saat pemda ingin masuk pasar modal</w:t>
            </w:r>
          </w:p>
        </w:tc>
        <w:tc>
          <w:tcPr/>
          <w:p>
            <w:pPr>
              <w:pStyle w:val="Compact"/>
            </w:pPr>
            <w:r>
              <w:t xml:space="preserve">Belum pernah ada penerbitan hingga Agustus 2026</w:t>
            </w:r>
          </w:p>
        </w:tc>
      </w:tr>
      <w:tr>
        <w:tc>
          <w:tcPr/>
          <w:p>
            <w:pPr>
              <w:pStyle w:val="Compact"/>
            </w:pPr>
            <w:r>
              <w:rPr>
                <w:b/>
                <w:bCs/>
              </w:rPr>
              <w:t xml:space="preserve">Sinergi Pendanaan</w:t>
            </w:r>
          </w:p>
        </w:tc>
        <w:tc>
          <w:tcPr/>
          <w:p>
            <w:pPr>
              <w:pStyle w:val="Compact"/>
            </w:pPr>
            <w:r>
              <w:t xml:space="preserve">Pasal 167 UU 1/2022; PP 1/2024</w:t>
            </w:r>
          </w:p>
        </w:tc>
        <w:tc>
          <w:tcPr/>
          <w:p>
            <w:pPr>
              <w:pStyle w:val="Compact"/>
            </w:pPr>
            <w:r>
              <w:t xml:space="preserve">Terbagi menurut porsi kontribusi APBD, swasta, BUMN, BUMD, atau pemda lain</w:t>
            </w:r>
          </w:p>
        </w:tc>
        <w:tc>
          <w:tcPr/>
          <w:p>
            <w:pPr>
              <w:pStyle w:val="Compact"/>
            </w:pPr>
            <w:r>
              <w:rPr>
                <w:b/>
                <w:bCs/>
              </w:rPr>
              <w:t xml:space="preserve">Tergantung komponen.</w:t>
            </w:r>
            <w:r>
              <w:t xml:space="preserve"> </w:t>
            </w:r>
            <w:r>
              <w:t xml:space="preserve">Hanya jika salah satu unsurnya berbentuk pinjaman</w:t>
            </w:r>
          </w:p>
        </w:tc>
        <w:tc>
          <w:tcPr/>
          <w:p>
            <w:pPr>
              <w:pStyle w:val="Compact"/>
            </w:pPr>
            <w:r>
              <w:t xml:space="preserve">Proyek prioritas yang tak tertutup satu sumber dana</w:t>
            </w:r>
          </w:p>
        </w:tc>
        <w:tc>
          <w:tcPr/>
          <w:p>
            <w:pPr>
              <w:pStyle w:val="Compact"/>
            </w:pPr>
            <w:r>
              <w:t xml:space="preserve">Istilah hukumnya baru (2022); polanya sudah lama berjalan</w:t>
            </w:r>
          </w:p>
        </w:tc>
      </w:tr>
      <w:tr>
        <w:tc>
          <w:tcPr/>
          <w:p>
            <w:pPr>
              <w:pStyle w:val="Compact"/>
            </w:pPr>
            <w:r>
              <w:rPr>
                <w:b/>
                <w:bCs/>
              </w:rPr>
              <w:t xml:space="preserve">Land Value Capture (LVC) / P3NK</w:t>
            </w:r>
          </w:p>
        </w:tc>
        <w:tc>
          <w:tcPr/>
          <w:p>
            <w:pPr>
              <w:pStyle w:val="Compact"/>
            </w:pPr>
            <w:r>
              <w:t xml:space="preserve">Perpres 79/2024, diundangkan 12 Agustus 2024</w:t>
            </w:r>
          </w:p>
        </w:tc>
        <w:tc>
          <w:tcPr/>
          <w:p>
            <w:pPr>
              <w:pStyle w:val="Compact"/>
            </w:pPr>
            <w:r>
              <w:t xml:space="preserve">Pihak yang menikmati kenaikan nilai kawasan ikut membiayai infrastrukturnya</w:t>
            </w:r>
          </w:p>
        </w:tc>
        <w:tc>
          <w:tcPr/>
          <w:p>
            <w:pPr>
              <w:pStyle w:val="Compact"/>
            </w:pPr>
            <w:r>
              <w:rPr>
                <w:b/>
                <w:bCs/>
              </w:rPr>
              <w:t xml:space="preserve">Tidak.</w:t>
            </w:r>
            <w:r>
              <w:t xml:space="preserve"> </w:t>
            </w:r>
            <w:r>
              <w:t xml:space="preserve">Berbasis peningkatan nilai kawasan</w:t>
            </w:r>
          </w:p>
        </w:tc>
        <w:tc>
          <w:tcPr/>
          <w:p>
            <w:pPr>
              <w:pStyle w:val="Compact"/>
            </w:pPr>
            <w:r>
              <w:t xml:space="preserve">Infrastruktur yang mengerek nilai lahan sekitarnya, misalnya kawasan transit</w:t>
            </w:r>
          </w:p>
        </w:tc>
        <w:tc>
          <w:tcPr/>
          <w:p>
            <w:pPr>
              <w:pStyle w:val="Compact"/>
            </w:pPr>
            <w:r>
              <w:t xml:space="preserve">Payung hukum baru; praktik di lapangan masih tahap awal</w:t>
            </w:r>
          </w:p>
        </w:tc>
      </w:tr>
      <w:tr>
        <w:tc>
          <w:tcPr/>
          <w:p>
            <w:pPr>
              <w:pStyle w:val="Compact"/>
            </w:pPr>
            <w:r>
              <w:rPr>
                <w:b/>
                <w:bCs/>
              </w:rPr>
              <w:t xml:space="preserve">Dana Abadi Daerah</w:t>
            </w:r>
          </w:p>
        </w:tc>
        <w:tc>
          <w:tcPr/>
          <w:p>
            <w:pPr>
              <w:pStyle w:val="Compact"/>
            </w:pPr>
            <w:r>
              <w:t xml:space="preserve">Cakupan PP 1/2024</w:t>
            </w:r>
          </w:p>
        </w:tc>
        <w:tc>
          <w:tcPr/>
          <w:p>
            <w:pPr>
              <w:pStyle w:val="Compact"/>
            </w:pPr>
            <w:r>
              <w:t xml:space="preserve">Pemda menyisihkan dan mengelola pokok dananya sendiri</w:t>
            </w:r>
          </w:p>
        </w:tc>
        <w:tc>
          <w:tcPr/>
          <w:p>
            <w:pPr>
              <w:pStyle w:val="Compact"/>
            </w:pPr>
            <w:r>
              <w:rPr>
                <w:b/>
                <w:bCs/>
              </w:rPr>
              <w:t xml:space="preserve">Tidak.</w:t>
            </w:r>
            <w:r>
              <w:t xml:space="preserve"> </w:t>
            </w:r>
            <w:r>
              <w:t xml:space="preserve">Dana cadangan, bukan pinjaman</w:t>
            </w:r>
          </w:p>
        </w:tc>
        <w:tc>
          <w:tcPr/>
          <w:p>
            <w:pPr>
              <w:pStyle w:val="Compact"/>
            </w:pPr>
            <w:r>
              <w:t xml:space="preserve">Daerah bersurplus fiskal yang menyiapkan cadangan lintas periode</w:t>
            </w:r>
          </w:p>
        </w:tc>
        <w:tc>
          <w:tcPr/>
          <w:p>
            <w:pPr>
              <w:pStyle w:val="Compact"/>
            </w:pPr>
            <w:r>
              <w:t xml:space="preserve">Belum banyak dipakai daerah khusus untuk infrastruktur</w:t>
            </w:r>
          </w:p>
        </w:tc>
      </w:tr>
    </w:tbl>
    <w:p>
      <w:pPr>
        <w:pStyle w:val="BodyText"/>
      </w:pPr>
      <w:r>
        <w:t xml:space="preserve">Dua istilah yang sering dianggap terpisah sudah tercakup di tabel ini:</w:t>
      </w:r>
      <w:r>
        <w:t xml:space="preserve"> </w:t>
      </w:r>
      <w:r>
        <w:rPr>
          <w:i/>
          <w:iCs/>
        </w:rPr>
        <w:t xml:space="preserve">blended finance</w:t>
      </w:r>
      <w:r>
        <w:t xml:space="preserve"> </w:t>
      </w:r>
      <w:r>
        <w:t xml:space="preserve">beririsan dengan Sinergi Pendanaan, dan</w:t>
      </w:r>
      <w:r>
        <w:t xml:space="preserve"> </w:t>
      </w:r>
      <w:r>
        <w:rPr>
          <w:i/>
          <w:iCs/>
        </w:rPr>
        <w:t xml:space="preserve">green bond</w:t>
      </w:r>
      <w:r>
        <w:t xml:space="preserve"> </w:t>
      </w:r>
      <w:r>
        <w:t xml:space="preserve">daerah adalah varian tematik obligasi daerah dengan kerangka hukum yang sama.</w:t>
      </w:r>
    </w:p>
    <w:bookmarkEnd w:id="21"/>
    <w:bookmarkStart w:id="23" w:name="X35a5846bfd8ec7635841fa50d208528c6ec6384"/>
    <w:p>
      <w:pPr>
        <w:pStyle w:val="Heading2"/>
      </w:pPr>
      <w:r>
        <w:t xml:space="preserve">Apakah pembiayaan kreatif sama dengan berutang?</w:t>
      </w:r>
    </w:p>
    <w:p>
      <w:pPr>
        <w:pStyle w:val="FirstParagraph"/>
      </w:pPr>
      <w:r>
        <w:t xml:space="preserve">Tidak selalu. Dalam kajian Kementerian Keuangan, UU HKPD tidak memaknai pembiayaan kreatif sebagai berutang. Pinjaman daerah, obligasi daerah, dan sukuk daerah memang tercatat sebagai Pembiayaan Utang Daerah. KPBU, sinergi pendanaan, Land Value Capture, dan dana abadi daerah berada di luar kategori itu karena berbasis kerja sama atau nilai, bukan pinjaman.</w:t>
      </w:r>
    </w:p>
    <w:p>
      <w:pPr>
        <w:pStyle w:val="BodyText"/>
      </w:pPr>
      <w:r>
        <w:t xml:space="preserve">Di sinilah satu hal sering disalahpahami:</w:t>
      </w:r>
      <w:r>
        <w:t xml:space="preserve"> </w:t>
      </w:r>
      <w:r>
        <w:t xml:space="preserve">“bukan utang”</w:t>
      </w:r>
      <w:r>
        <w:t xml:space="preserve"> </w:t>
      </w:r>
      <w:r>
        <w:t xml:space="preserve">tidak berarti</w:t>
      </w:r>
      <w:r>
        <w:t xml:space="preserve"> </w:t>
      </w:r>
      <w:r>
        <w:t xml:space="preserve">“tanpa kewajiban”</w:t>
      </w:r>
      <w:r>
        <w:t xml:space="preserve">. Pada KPBU berskema Availability Payment, pemda menandatangani komitmen pembayaran berkala sepanjang kontrak yang lazimnya 15 sampai 30 tahun, dan komitmen itu dianggarkan ulang lewat KUA-PPAS setiap periode. Permendagri No. 96 Tahun 2016 menegaskan AP tidak boleh dibayarkan selama masa konstruksi.</w:t>
      </w:r>
    </w:p>
    <w:p>
      <w:pPr>
        <w:pStyle w:val="BodyText"/>
      </w:pPr>
      <w:r>
        <w:t xml:space="preserve">Maka pertanyaannya bukan</w:t>
      </w:r>
      <w:r>
        <w:t xml:space="preserve"> </w:t>
      </w:r>
      <w:r>
        <w:t xml:space="preserve">“utang atau bukan”</w:t>
      </w:r>
      <w:r>
        <w:t xml:space="preserve">, melainkan kewajiban itu muncul kapan, sebesar apa, dan tercatat di pos mana. KPBU, padanan Indonesia untuk</w:t>
      </w:r>
      <w:r>
        <w:t xml:space="preserve"> </w:t>
      </w:r>
      <w:hyperlink r:id="rId22">
        <w:r>
          <w:rPr>
            <w:rStyle w:val="Hyperlink"/>
          </w:rPr>
          <w:t xml:space="preserve">public private partnership</w:t>
        </w:r>
      </w:hyperlink>
      <w:r>
        <w:t xml:space="preserve">, memindahkan risiko konstruksi dan operasi ke badan usaha, tetapi tidak memindahkan kewajiban fiskal pemda.</w:t>
      </w:r>
    </w:p>
    <w:bookmarkEnd w:id="23"/>
    <w:bookmarkStart w:id="26" w:name="Xbecabb0e7813b9313a5db2cc7818d0ec8153bd4"/>
    <w:p>
      <w:pPr>
        <w:pStyle w:val="Heading2"/>
      </w:pPr>
      <w:r>
        <w:t xml:space="preserve">Yang jarang dibahas: tersedia bukan berarti terpakai</w:t>
      </w:r>
    </w:p>
    <w:p>
      <w:pPr>
        <w:pStyle w:val="FirstParagraph"/>
      </w:pPr>
      <w:r>
        <w:t xml:space="preserve">Ketersediaan dasar hukum tidak otomatis berarti instrumen itu terpakai. Contoh paling tajam adalah obligasi daerah. Kerangka hukumnya lengkap dan diperbarui melalui</w:t>
      </w:r>
      <w:r>
        <w:t xml:space="preserve"> </w:t>
      </w:r>
      <w:hyperlink r:id="rId24">
        <w:r>
          <w:rPr>
            <w:rStyle w:val="Hyperlink"/>
          </w:rPr>
          <w:t xml:space="preserve">POJK No. 10 Tahun 2024</w:t>
        </w:r>
      </w:hyperlink>
      <w:r>
        <w:t xml:space="preserve"> </w:t>
      </w:r>
      <w:r>
        <w:t xml:space="preserve">yang berlaku 9 Juli 2024, tetapi hingga Agustus 2026 belum ada satu pun pemerintah daerah di Indonesia yang benar-benar menerbitkannya.</w:t>
      </w:r>
    </w:p>
    <w:p>
      <w:pPr>
        <w:pStyle w:val="BodyText"/>
      </w:pPr>
      <w:r>
        <w:t xml:space="preserve">Pernyataan resmi OJK pada 2 Juni 2025 menyebut belum ada pemerintah daerah yang mengajukan pernyataan pendaftaran untuk penerbitan obligasi maupun sukuk daerah, padahal kerangka hukumnya tersedia lebih dari satu dekade. Status itu mulai bergerak: DPRD DKI Jakarta menyetujui rencana obligasi daerah Rp 3,5 triliun bertenor 7 tahun untuk tahun anggaran 2027 (27 Juli 2026), yang jika terbit akan menjadi yang pertama di Indonesia. Per Agustus 2026, rencana itu baru berstatus disetujui DPRD: belum diterbitkan, dan belum ada informasi publik bahwa pernyataan pendaftarannya telah masuk ke OJK.</w:t>
      </w:r>
    </w:p>
    <w:p>
      <w:pPr>
        <w:pStyle w:val="BodyText"/>
      </w:pPr>
      <w:r>
        <w:t xml:space="preserve">Pola serupa terlihat pada instrumen lain. Perpres LVC baru diundangkan Agustus 2024 dan praktiknya masih tahap awal; dana abadi daerah belum banyak dipakai untuk infrastruktur.</w:t>
      </w:r>
    </w:p>
    <w:p>
      <w:pPr>
        <w:pStyle w:val="BodyText"/>
      </w:pPr>
      <w:r>
        <w:t xml:space="preserve">Diagnosisnya dinyatakan sendiri oleh pemerintah.</w:t>
      </w:r>
      <w:r>
        <w:t xml:space="preserve"> </w:t>
      </w:r>
      <w:hyperlink r:id="rId25">
        <w:r>
          <w:rPr>
            <w:rStyle w:val="Hyperlink"/>
          </w:rPr>
          <w:t xml:space="preserve">DJPK Kementerian Keuangan</w:t>
        </w:r>
      </w:hyperlink>
      <w:r>
        <w:t xml:space="preserve"> </w:t>
      </w:r>
      <w:r>
        <w:t xml:space="preserve">pada 26 Mei 2026 menyebut hambatan utama bukan ketiadaan instrumen, melainkan komitmen kepala daerah dan kesiapan teknis pemda. Bagi tim penyiapan, waktu lebih berharga dipakai menyiapkan proyek yang layak dibiayai ketimbang mencari instrumen yang belum ada.</w:t>
      </w:r>
    </w:p>
    <w:bookmarkEnd w:id="26"/>
    <w:bookmarkStart w:id="27" w:name="X44b92f094c406fb41aca3ba8d3748baa3b8edf8"/>
    <w:p>
      <w:pPr>
        <w:pStyle w:val="Heading2"/>
      </w:pPr>
      <w:r>
        <w:t xml:space="preserve">Fasilitas yang menempel pada instrumen KPBU daerah</w:t>
      </w:r>
    </w:p>
    <w:p>
      <w:pPr>
        <w:pStyle w:val="FirstParagraph"/>
      </w:pPr>
      <w:r>
        <w:t xml:space="preserve">Tiga fasilitas pemerintah melekat pada jalur KPBU dan tidak tersedia pada instrumen lain di tabel: Fasilitas Penyiapan Proyek, Dukungan Kelayakan, dan penjaminan pemerintah. Sejak PMK No. 68 Tahun 2024 berlaku pada 18 Oktober 2024, ketiganya dikonsolidasikan ke dalam satu aturan pelaksana.</w:t>
      </w:r>
    </w:p>
    <w:p>
      <w:pPr>
        <w:pStyle w:val="Compact"/>
        <w:numPr>
          <w:ilvl w:val="0"/>
          <w:numId w:val="1002"/>
        </w:numPr>
      </w:pPr>
      <w:r>
        <w:rPr>
          <w:b/>
          <w:bCs/>
        </w:rPr>
        <w:t xml:space="preserve">Fasilitas Penyiapan Proyek (PDF)</w:t>
      </w:r>
      <w:r>
        <w:t xml:space="preserve">: pendampingan teknis bagi PJPK untuk menyusun prastudi kelayakan dan dokumen transaksi.</w:t>
      </w:r>
    </w:p>
    <w:p>
      <w:pPr>
        <w:pStyle w:val="Compact"/>
        <w:numPr>
          <w:ilvl w:val="0"/>
          <w:numId w:val="1002"/>
        </w:numPr>
      </w:pPr>
      <w:r>
        <w:rPr>
          <w:b/>
          <w:bCs/>
        </w:rPr>
        <w:t xml:space="preserve">Dukungan Kelayakan (VGF)</w:t>
      </w:r>
      <w:r>
        <w:t xml:space="preserve">: kontribusi fiskal atas sebagian biaya konstruksi bagi proyek yang layak secara ekonomi tetapi belum layak finansial. Bukan subsidi operasional.</w:t>
      </w:r>
    </w:p>
    <w:p>
      <w:pPr>
        <w:pStyle w:val="Compact"/>
        <w:numPr>
          <w:ilvl w:val="0"/>
          <w:numId w:val="1002"/>
        </w:numPr>
      </w:pPr>
      <w:r>
        <w:rPr>
          <w:b/>
          <w:bCs/>
        </w:rPr>
        <w:t xml:space="preserve">Penjaminan pemerintah</w:t>
      </w:r>
      <w:r>
        <w:t xml:space="preserve">: menutup risiko yang menjadi tanggung jawab pemerintah dalam kontrak KPBU. Bukan risiko komersial badan usaha, dan bukan subsidi.</w:t>
      </w:r>
    </w:p>
    <w:p>
      <w:pPr>
        <w:pStyle w:val="FirstParagraph"/>
      </w:pPr>
      <w:r>
        <w:t xml:space="preserve">Pembagian peran di sini mudah tertukar. Pinjaman daerah disalurkan lembaga pembiayaan dan perbankan, antara lain PT Sarana Multi Infrastruktur; obligasi dan sukuk daerah berjalan lewat pasar modal di bawah pengawasan OJK. Penjaminan proyek KPBU berada di jalur yang berbeda lagi, diterbitkan PT Penjaminan Infrastruktur Indonesia (PT PII) selaku Badan Usaha Penjaminan Infrastruktur di bawah Kementerian Keuangan, yang menjamin risiko pemerintah dalam kontrak dan mendampingi penyiapan proyek, bukan meminjamkan dana.</w:t>
      </w:r>
    </w:p>
    <w:p>
      <w:pPr>
        <w:pStyle w:val="BodyText"/>
      </w:pPr>
      <w:r>
        <w:t xml:space="preserve">Jalur itu sudah terbukti sampai tingkat kabupaten. Pada KPBU penerangan jalan umum Kabupaten Madiun, Perjanjian Penjaminan dan Perjanjian Regres ditandatangani 20 September 2022, dan proyeknya beroperasi komersial sejak 18 Juli 2023 dengan nilai investasi sekitar Rp 100 miliar menurut portal KPBU Kementerian Keuangan.</w:t>
      </w:r>
    </w:p>
    <w:bookmarkEnd w:id="27"/>
    <w:bookmarkStart w:id="34" w:name="faq-pertanyaan-yang-sering-diajukan"/>
    <w:p>
      <w:pPr>
        <w:pStyle w:val="Heading2"/>
      </w:pPr>
      <w:r>
        <w:t xml:space="preserve">FAQ (Pertanyaan yang Sering Diajukan)</w:t>
      </w:r>
    </w:p>
    <w:bookmarkStart w:id="28" w:name="Xfe46cf8a7ca3199e7696a872cf338b8f37c6dbb"/>
    <w:p>
      <w:pPr>
        <w:pStyle w:val="Heading3"/>
      </w:pPr>
      <w:r>
        <w:t xml:space="preserve">Apa itu pembiayaan kreatif dalam pembangunan infrastruktur daerah?</w:t>
      </w:r>
    </w:p>
    <w:p>
      <w:pPr>
        <w:pStyle w:val="FirstParagraph"/>
      </w:pPr>
      <w:r>
        <w:t xml:space="preserve">Pendekatan pendanaan yang memadukan APBD dengan sumber di luar APBD, berdasar Pasal 167 UU No. 1 Tahun 2022 tentang HKPD. Ia bukan satu produk, melainkan payung bagi enam instrumen: KPBU, pinjaman daerah, obligasi dan sukuk daerah, sinergi pendanaan, Land Value Capture, serta dana abadi daerah. Masing-masing berbeda konsekuensinya terhadap utang daerah.</w:t>
      </w:r>
    </w:p>
    <w:bookmarkEnd w:id="28"/>
    <w:bookmarkStart w:id="29" w:name="Xbbaea034b9285723f770bfd13773e06139e8d25"/>
    <w:p>
      <w:pPr>
        <w:pStyle w:val="Heading3"/>
      </w:pPr>
      <w:r>
        <w:t xml:space="preserve">Apa saja bentuk creative financing yang dilakukan pemerintah?</w:t>
      </w:r>
    </w:p>
    <w:p>
      <w:pPr>
        <w:pStyle w:val="FirstParagraph"/>
      </w:pPr>
      <w:r>
        <w:t xml:space="preserve">Menurut DJPK Kementerian Keuangan (26 Mei 2026), bentuknya mencakup pinjaman konvensional dan syariah, obligasi daerah, sukuk daerah, KPBU,</w:t>
      </w:r>
      <w:r>
        <w:t xml:space="preserve"> </w:t>
      </w:r>
      <w:r>
        <w:rPr>
          <w:i/>
          <w:iCs/>
        </w:rPr>
        <w:t xml:space="preserve">blended finance</w:t>
      </w:r>
      <w:r>
        <w:t xml:space="preserve">,</w:t>
      </w:r>
      <w:r>
        <w:t xml:space="preserve"> </w:t>
      </w:r>
      <w:r>
        <w:rPr>
          <w:i/>
          <w:iCs/>
        </w:rPr>
        <w:t xml:space="preserve">green bond</w:t>
      </w:r>
      <w:r>
        <w:t xml:space="preserve"> </w:t>
      </w:r>
      <w:r>
        <w:t xml:space="preserve">daerah, serta kerja sama pemanfaatan aset. Tidak semuanya sama-sama terpakai; sebagian punya dasar hukum lengkap tetapi implementasinya masih minim, sehingga kesiapan kelembagaan pemda menjadi penentu.</w:t>
      </w:r>
    </w:p>
    <w:bookmarkEnd w:id="29"/>
    <w:bookmarkStart w:id="30" w:name="Xbfb7db20918095beb7239584a97cb50fc1a602a"/>
    <w:p>
      <w:pPr>
        <w:pStyle w:val="Heading3"/>
      </w:pPr>
      <w:r>
        <w:t xml:space="preserve">Apakah pembiayaan kreatif sama dengan berutang?</w:t>
      </w:r>
    </w:p>
    <w:p>
      <w:pPr>
        <w:pStyle w:val="FirstParagraph"/>
      </w:pPr>
      <w:r>
        <w:t xml:space="preserve">Tidak selalu. Pinjaman daerah, obligasi daerah, dan sukuk daerah tercatat sebagai Pembiayaan Utang Daerah. KPBU, sinergi pendanaan, dan Land Value Capture berbasis kerja sama atau nilai, bukan pinjaman. Nuansanya, skema Availability Payment pada KPBU tetap menimbulkan kewajiban pembayaran mengikat lintas tahun anggaran meski bukan pos utang.</w:t>
      </w:r>
    </w:p>
    <w:bookmarkEnd w:id="30"/>
    <w:bookmarkStart w:id="31" w:name="X091ef0541b96e698e607f888b859bee25236416"/>
    <w:p>
      <w:pPr>
        <w:pStyle w:val="Heading3"/>
      </w:pPr>
      <w:r>
        <w:t xml:space="preserve">Apa itu obligasi daerah, dan apakah pemerintah daerah sudah pernah menerbitkannya?</w:t>
      </w:r>
    </w:p>
    <w:p>
      <w:pPr>
        <w:pStyle w:val="FirstParagraph"/>
      </w:pPr>
      <w:r>
        <w:t xml:space="preserve">Obligasi daerah adalah surat utang yang diterbitkan pemda untuk membiayai infrastruktur, diatur POJK No. 10 Tahun 2024. OJK menyatakan (2 Juni 2025) belum ada pemda yang mengajukan pernyataan pendaftaran. DPRD DKI Jakarta menyetujui rencana obligasi Rp 3,5 triliun untuk tahun anggaran 2027 (27 Juli 2026), yang hingga Agustus 2026 belum diterbitkan.</w:t>
      </w:r>
    </w:p>
    <w:bookmarkEnd w:id="31"/>
    <w:bookmarkStart w:id="32" w:name="X253979af5479eaca3ccc125fed928c429ac3ac3"/>
    <w:p>
      <w:pPr>
        <w:pStyle w:val="Heading3"/>
      </w:pPr>
      <w:r>
        <w:t xml:space="preserve">Apa itu green bond dan bisakah dipakai pemerintah daerah?</w:t>
      </w:r>
    </w:p>
    <w:p>
      <w:pPr>
        <w:pStyle w:val="FirstParagraph"/>
      </w:pPr>
      <w:r>
        <w:rPr>
          <w:i/>
          <w:iCs/>
        </w:rPr>
        <w:t xml:space="preserve">Green bond</w:t>
      </w:r>
      <w:r>
        <w:t xml:space="preserve"> </w:t>
      </w:r>
      <w:r>
        <w:t xml:space="preserve">adalah obligasi bertema lingkungan yang dananya dikhususkan untuk proyek berdampak hijau, misalnya air minum, pengelolaan sampah, atau energi bersih. Bagi pemda, ia varian tematik dari obligasi daerah dan tunduk pada kerangka hukum yang sama (POJK No. 10 Tahun 2024), sehingga prasyarat penerbitannya juga sama.</w:t>
      </w:r>
    </w:p>
    <w:bookmarkEnd w:id="32"/>
    <w:bookmarkStart w:id="33" w:name="X11b9d95126cdd5e31cc1beaf571f053727a6963"/>
    <w:p>
      <w:pPr>
        <w:pStyle w:val="Heading3"/>
      </w:pPr>
      <w:r>
        <w:t xml:space="preserve">Siapa yang menjadi PJPK dalam proyek KPBU di daerah?</w:t>
      </w:r>
    </w:p>
    <w:p>
      <w:pPr>
        <w:pStyle w:val="FirstParagraph"/>
      </w:pPr>
      <w:r>
        <w:t xml:space="preserve">PJPK adalah kepala daerah, yaitu gubernur, bupati, atau wali kota, sesuai kewenangannya atas sektor yang dikerjasamakan, sebagaimana diatur Perpres No. 38 Tahun 2015. PJPK menandatangani perjanjian kerja sama dengan badan usaha pelaksana dan bertanggung jawab atas pembayaran Availability Payment atau penetapan tarif pengguna.</w:t>
      </w:r>
    </w:p>
    <w:bookmarkEnd w:id="33"/>
    <w:bookmarkEnd w:id="34"/>
    <w:bookmarkStart w:id="35" w:name="kesimpulan"/>
    <w:p>
      <w:pPr>
        <w:pStyle w:val="Heading2"/>
      </w:pPr>
      <w:r>
        <w:t xml:space="preserve">Kesimpulan</w:t>
      </w:r>
    </w:p>
    <w:p>
      <w:pPr>
        <w:pStyle w:val="FirstParagraph"/>
      </w:pPr>
      <w:r>
        <w:t xml:space="preserve">Enam instrumen tadi tidak saling menggantikan; masing-masing menjawab jenis proyek dan kapasitas fiskal yang berbeda. Yang perlu dijawab lebih dulu bukan</w:t>
      </w:r>
      <w:r>
        <w:t xml:space="preserve"> </w:t>
      </w:r>
      <w:r>
        <w:t xml:space="preserve">“instrumen mana yang paling menarik”</w:t>
      </w:r>
      <w:r>
        <w:t xml:space="preserve">, melainkan apakah proyek ini menghasilkan penerimaan dan siapa yang paling layak menanggung risikonya.</w:t>
      </w:r>
    </w:p>
    <w:p>
      <w:pPr>
        <w:pStyle w:val="BodyText"/>
      </w:pPr>
      <w:r>
        <w:t xml:space="preserve">Pada jalur KPBU, PT PII, satu-satunya BUMN yang memperoleh mandat menyediakan penjaminan pemerintah untuk proyek berskema KPBU, mengarahkan produk Pembiayaan Kreatif ke infrastruktur daerah berskala kecil dan regional: pada sisi penjaminan dan pendampingan penyiapan proyek, bukan penyaluran dana. Tidak ada instrumen yang menjamin dana pasti tersedia; yang bisa diusahakan adalah struktur proyek yang layak dijamin dan layak dibiayai.</w:t>
      </w:r>
    </w:p>
    <w:p>
      <w:pPr>
        <w:pStyle w:val="BodyText"/>
      </w:pPr>
      <w:r>
        <w:t xml:space="preserve">Uraian skema Pembiayaan Kreatif untuk infrastruktur daerah, termasuk jalur diskusi awal bagi pemerintah daerah, tersedia di ptpii.co.id.</w:t>
      </w:r>
    </w:p>
    <w:bookmarkEnd w:id="35"/>
    <w:bookmarkEnd w:id="36"/>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5" Target="https://djpk.kemenkeu.go.id/?p=76326" TargetMode="External" /><Relationship Type="http://schemas.openxmlformats.org/officeDocument/2006/relationships/hyperlink" Id="rId24" Target="https://ojk.go.id/id/regulasi/Pages/Penerbitan-dan-Pelaporan-Obligasi-Daerah-dan-Sukuk-Daerah.aspx" TargetMode="External" /><Relationship Type="http://schemas.openxmlformats.org/officeDocument/2006/relationships/hyperlink" Id="rId18" Target="https://peraturan.go.id/id/uu-no-1-tahun-2022"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2"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5" Target="https://djpk.kemenkeu.go.id/?p=76326" TargetMode="External" /><Relationship Type="http://schemas.openxmlformats.org/officeDocument/2006/relationships/hyperlink" Id="rId24" Target="https://ojk.go.id/id/regulasi/Pages/Penerbitan-dan-Pelaporan-Obligasi-Daerah-dan-Sukuk-Daerah.aspx" TargetMode="External" /><Relationship Type="http://schemas.openxmlformats.org/officeDocument/2006/relationships/hyperlink" Id="rId18" Target="https://peraturan.go.id/id/uu-no-1-tahun-2022" TargetMode="External" /><Relationship Type="http://schemas.openxmlformats.org/officeDocument/2006/relationships/hyperlink" Id="rId20" Target="https://www.ptpii.co.id/kpbu" TargetMode="External" /><Relationship Type="http://schemas.openxmlformats.org/officeDocument/2006/relationships/hyperlink" Id="rId17" Target="https://www.ptpii.co.id/pembiayaan-kreatif" TargetMode="External" /><Relationship Type="http://schemas.openxmlformats.org/officeDocument/2006/relationships/hyperlink" Id="rId22"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2026-08-12T09:08:33Z</dcterms:created>
  <dcterms:modified xsi:type="dcterms:W3CDTF">2026-08-12T09:08:33Z</dcterms:modified>
</cp:coreProperties>
</file>

<file path=docProps/custom.xml><?xml version="1.0" encoding="utf-8"?>
<Properties xmlns="http://schemas.openxmlformats.org/officeDocument/2006/custom-properties" xmlns:vt="http://schemas.openxmlformats.org/officeDocument/2006/docPropsVTypes"/>
</file>