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"Pembiayaan Kreatif: Checklist Kesiapan Pemda Sebelum Mulai"</w:t>
      </w:r>
      <w:r>
        <w:br/>
      </w:r>
      <w:r>
        <w:rPr>
          <w:rStyle w:val="FunctionTok"/>
        </w:rPr>
        <w:t xml:space="preserve">meta_title</w:t>
      </w:r>
      <w:r>
        <w:rPr>
          <w:rStyle w:val="KeywordTok"/>
        </w:rPr>
        <w:t xml:space="preserve">:</w:t>
      </w:r>
      <w:r>
        <w:rPr>
          <w:rStyle w:val="AttributeTok"/>
        </w:rPr>
        <w:t xml:space="preserve"> </w:t>
      </w:r>
      <w:r>
        <w:rPr>
          <w:rStyle w:val="StringTok"/>
        </w:rPr>
        <w:t xml:space="preserve">"Pembiayaan Kreatif: Checklist Kesiapan Pemda"</w:t>
      </w:r>
      <w:r>
        <w:br/>
      </w:r>
      <w:r>
        <w:rPr>
          <w:rStyle w:val="FunctionTok"/>
        </w:rPr>
        <w:t xml:space="preserve">meta_description</w:t>
      </w:r>
      <w:r>
        <w:rPr>
          <w:rStyle w:val="KeywordTok"/>
        </w:rPr>
        <w:t xml:space="preserve">:</w:t>
      </w:r>
      <w:r>
        <w:rPr>
          <w:rStyle w:val="AttributeTok"/>
        </w:rPr>
        <w:t xml:space="preserve"> </w:t>
      </w:r>
      <w:r>
        <w:rPr>
          <w:rStyle w:val="StringTok"/>
        </w:rPr>
        <w:t xml:space="preserve">"Pembiayaan kreatif untuk infrastruktur daerah menuntut kesiapan: delapan prasyarat pemda, konsekuensi Availability Payment pada APBD, dan kapan menunda."</w:t>
      </w:r>
      <w:r>
        <w:br/>
      </w:r>
      <w:r>
        <w:rPr>
          <w:rStyle w:val="FunctionTok"/>
        </w:rPr>
        <w:t xml:space="preserve">slug</w:t>
      </w:r>
      <w:r>
        <w:rPr>
          <w:rStyle w:val="KeywordTok"/>
        </w:rPr>
        <w:t xml:space="preserve">:</w:t>
      </w:r>
      <w:r>
        <w:rPr>
          <w:rStyle w:val="AttributeTok"/>
        </w:rPr>
        <w:t xml:space="preserve"> </w:t>
      </w:r>
      <w:r>
        <w:rPr>
          <w:rStyle w:val="StringTok"/>
        </w:rPr>
        <w:t xml:space="preserve">"pembiayaan-kreatif-checklist-kesiapan-pemda"</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"Pembiayaan Kreatif"</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"kesiapan pemerintah daerah"</w:t>
      </w:r>
      <w:r>
        <w:br/>
      </w:r>
      <w:r>
        <w:rPr>
          <w:rStyle w:val="AttributeTok"/>
        </w:rPr>
        <w:t xml:space="preserve">  </w:t>
      </w:r>
      <w:r>
        <w:rPr>
          <w:rStyle w:val="KeywordTok"/>
        </w:rPr>
        <w:t xml:space="preserve">-</w:t>
      </w:r>
      <w:r>
        <w:rPr>
          <w:rStyle w:val="AttributeTok"/>
        </w:rPr>
        <w:t xml:space="preserve"> </w:t>
      </w:r>
      <w:r>
        <w:rPr>
          <w:rStyle w:val="StringTok"/>
        </w:rPr>
        <w:t xml:space="preserve">"syarat proyek KPBU daerah"</w:t>
      </w:r>
      <w:r>
        <w:br/>
      </w:r>
      <w:r>
        <w:rPr>
          <w:rStyle w:val="AttributeTok"/>
        </w:rPr>
        <w:t xml:space="preserve">  </w:t>
      </w:r>
      <w:r>
        <w:rPr>
          <w:rStyle w:val="KeywordTok"/>
        </w:rPr>
        <w:t xml:space="preserve">-</w:t>
      </w:r>
      <w:r>
        <w:rPr>
          <w:rStyle w:val="AttributeTok"/>
        </w:rPr>
        <w:t xml:space="preserve"> </w:t>
      </w:r>
      <w:r>
        <w:rPr>
          <w:rStyle w:val="StringTok"/>
        </w:rPr>
        <w:t xml:space="preserve">"prastudi kelayakan"</w:t>
      </w:r>
      <w:r>
        <w:br/>
      </w:r>
      <w:r>
        <w:rPr>
          <w:rStyle w:val="AttributeTok"/>
        </w:rPr>
        <w:t xml:space="preserve">  </w:t>
      </w:r>
      <w:r>
        <w:rPr>
          <w:rStyle w:val="KeywordTok"/>
        </w:rPr>
        <w:t xml:space="preserve">-</w:t>
      </w:r>
      <w:r>
        <w:rPr>
          <w:rStyle w:val="AttributeTok"/>
        </w:rPr>
        <w:t xml:space="preserve"> </w:t>
      </w:r>
      <w:r>
        <w:rPr>
          <w:rStyle w:val="StringTok"/>
        </w:rPr>
        <w:t xml:space="preserve">"PJPK"</w:t>
      </w:r>
      <w:r>
        <w:br/>
      </w:r>
      <w:r>
        <w:rPr>
          <w:rStyle w:val="AttributeTok"/>
        </w:rPr>
        <w:t xml:space="preserve">  </w:t>
      </w:r>
      <w:r>
        <w:rPr>
          <w:rStyle w:val="KeywordTok"/>
        </w:rPr>
        <w:t xml:space="preserve">-</w:t>
      </w:r>
      <w:r>
        <w:rPr>
          <w:rStyle w:val="AttributeTok"/>
        </w:rPr>
        <w:t xml:space="preserve"> </w:t>
      </w:r>
      <w:r>
        <w:rPr>
          <w:rStyle w:val="StringTok"/>
        </w:rPr>
        <w:t xml:space="preserve">"Tim KPBU"</w:t>
      </w:r>
      <w:r>
        <w:br/>
      </w:r>
      <w:r>
        <w:rPr>
          <w:rStyle w:val="AttributeTok"/>
        </w:rPr>
        <w:t xml:space="preserve">  </w:t>
      </w:r>
      <w:r>
        <w:rPr>
          <w:rStyle w:val="KeywordTok"/>
        </w:rPr>
        <w:t xml:space="preserve">-</w:t>
      </w:r>
      <w:r>
        <w:rPr>
          <w:rStyle w:val="AttributeTok"/>
        </w:rPr>
        <w:t xml:space="preserve"> </w:t>
      </w:r>
      <w:r>
        <w:rPr>
          <w:rStyle w:val="StringTok"/>
        </w:rPr>
        <w:t xml:space="preserve">"Availability Payment"</w:t>
      </w:r>
      <w:r>
        <w:br/>
      </w:r>
      <w:r>
        <w:rPr>
          <w:rStyle w:val="AttributeTok"/>
        </w:rPr>
        <w:t xml:space="preserve">  </w:t>
      </w:r>
      <w:r>
        <w:rPr>
          <w:rStyle w:val="KeywordTok"/>
        </w:rPr>
        <w:t xml:space="preserve">-</w:t>
      </w:r>
      <w:r>
        <w:rPr>
          <w:rStyle w:val="AttributeTok"/>
        </w:rPr>
        <w:t xml:space="preserve"> </w:t>
      </w:r>
      <w:r>
        <w:rPr>
          <w:rStyle w:val="StringTok"/>
        </w:rPr>
        <w:t xml:space="preserve">"KUA-PPAS dan persetujuan DPRD"</w:t>
      </w:r>
      <w:r>
        <w:br/>
      </w:r>
      <w:r>
        <w:rPr>
          <w:rStyle w:val="AttributeTok"/>
        </w:rPr>
        <w:t xml:space="preserve">  </w:t>
      </w:r>
      <w:r>
        <w:rPr>
          <w:rStyle w:val="KeywordTok"/>
        </w:rPr>
        <w:t xml:space="preserve">-</w:t>
      </w:r>
      <w:r>
        <w:rPr>
          <w:rStyle w:val="AttributeTok"/>
        </w:rPr>
        <w:t xml:space="preserve"> </w:t>
      </w:r>
      <w:r>
        <w:rPr>
          <w:rStyle w:val="StringTok"/>
        </w:rPr>
        <w:t xml:space="preserve">"Dukungan Kelayakan (VGF)"</w:t>
      </w:r>
      <w:r>
        <w:br/>
      </w:r>
      <w:r>
        <w:rPr>
          <w:rStyle w:val="AttributeTok"/>
        </w:rPr>
        <w:t xml:space="preserve">  </w:t>
      </w:r>
      <w:r>
        <w:rPr>
          <w:rStyle w:val="KeywordTok"/>
        </w:rPr>
        <w:t xml:space="preserve">-</w:t>
      </w:r>
      <w:r>
        <w:rPr>
          <w:rStyle w:val="AttributeTok"/>
        </w:rPr>
        <w:t xml:space="preserve"> </w:t>
      </w:r>
      <w:r>
        <w:rPr>
          <w:rStyle w:val="StringTok"/>
        </w:rPr>
        <w:t xml:space="preserve">"Fasilitas Penyiapan Proyek"</w:t>
      </w:r>
      <w:r>
        <w:br/>
      </w:r>
      <w:r>
        <w:rPr>
          <w:rStyle w:val="AttributeTok"/>
        </w:rPr>
        <w:t xml:space="preserve">  </w:t>
      </w:r>
      <w:r>
        <w:rPr>
          <w:rStyle w:val="KeywordTok"/>
        </w:rPr>
        <w:t xml:space="preserve">-</w:t>
      </w:r>
      <w:r>
        <w:rPr>
          <w:rStyle w:val="AttributeTok"/>
        </w:rPr>
        <w:t xml:space="preserve"> </w:t>
      </w:r>
      <w:r>
        <w:rPr>
          <w:rStyle w:val="StringTok"/>
        </w:rPr>
        <w:t xml:space="preserve">"RPJMD dan RKPD"</w:t>
      </w:r>
      <w:r>
        <w:br/>
      </w:r>
      <w:r>
        <w:rPr>
          <w:rStyle w:val="AttributeTok"/>
        </w:rPr>
        <w:t xml:space="preserve">  </w:t>
      </w:r>
      <w:r>
        <w:rPr>
          <w:rStyle w:val="KeywordTok"/>
        </w:rPr>
        <w:t xml:space="preserve">-</w:t>
      </w:r>
      <w:r>
        <w:rPr>
          <w:rStyle w:val="AttributeTok"/>
        </w:rPr>
        <w:t xml:space="preserve"> </w:t>
      </w:r>
      <w:r>
        <w:rPr>
          <w:rStyle w:val="StringTok"/>
        </w:rPr>
        <w:t xml:space="preserve">"kapasitas fiskal daerah"</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"https://www.ptpii.co.id/pembiayaan-kreatif"</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"pembiayaan kreatif untuk infrastruktur daerah"</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"https://www.ptpii.co.id/kpbu"</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"tahapan proyek KPBU"</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"https://www.ptpii.co.id/public-private-partnership"</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"praktik public private partnership"</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"https://kpbu.kemenkeu.go.id/read/16-13/pjpk/persyaratan-proyek"</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"Studi Pendahuluan sebagai syarat formal awal proyek KPBU dan empat unsur wajibnya"</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"https://djpk.kemenkeu.go.id/?p=76326"</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"Pernyataan DJPK Kementerian Keuangan (26 Mei 2026): hambatan utama pembiayaan kreatif daerah adalah kesiapan kapasitas, bukan ketersediaan instrumen"</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"https://kpbu.kemenkeu.go.id/read/1094-1255/pjpk/dukungan-pemerintah/fasilitas-penyiapan-proyek"</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"Empat syarat pengajuan Fasilitas Penyiapan Proyek, termasuk kewajiban membentuk Tim KPBU"</w:t>
      </w:r>
      <w:r>
        <w:br/>
      </w:r>
      <w:r>
        <w:rPr>
          <w:rStyle w:val="FunctionTok"/>
        </w:rPr>
        <w:t xml:space="preserve">brief_id</w:t>
      </w:r>
      <w:r>
        <w:rPr>
          <w:rStyle w:val="KeywordTok"/>
        </w:rPr>
        <w:t xml:space="preserve">:</w:t>
      </w:r>
      <w:r>
        <w:rPr>
          <w:rStyle w:val="AttributeTok"/>
        </w:rPr>
        <w:t xml:space="preserve"> </w:t>
      </w:r>
      <w:r>
        <w:rPr>
          <w:rStyle w:val="StringTok"/>
        </w:rPr>
        <w:t xml:space="preserve">"pembiayaan-kreatif-02"</w:t>
      </w:r>
      <w:r>
        <w:br/>
      </w:r>
      <w:r>
        <w:rPr>
          <w:rStyle w:val="FunctionTok"/>
        </w:rPr>
        <w:t xml:space="preserve">target_word_count</w:t>
      </w:r>
      <w:r>
        <w:rPr>
          <w:rStyle w:val="KeywordTok"/>
        </w:rPr>
        <w:t xml:space="preserve">:</w:t>
      </w:r>
      <w:r>
        <w:rPr>
          <w:rStyle w:val="AttributeTok"/>
        </w:rPr>
        <w:t xml:space="preserve"> </w:t>
      </w:r>
      <w:r>
        <w:rPr>
          <w:rStyle w:val="DecValTok"/>
        </w:rPr>
        <w:t xml:space="preserve">1650</w:t>
      </w:r>
      <w:r>
        <w:br/>
      </w:r>
      <w:r>
        <w:rPr>
          <w:rStyle w:val="FunctionTok"/>
        </w:rPr>
        <w:t xml:space="preserve">publish_month</w:t>
      </w:r>
      <w:r>
        <w:rPr>
          <w:rStyle w:val="KeywordTok"/>
        </w:rPr>
        <w:t xml:space="preserve">:</w:t>
      </w:r>
      <w:r>
        <w:rPr>
          <w:rStyle w:val="AttributeTok"/>
        </w:rPr>
        <w:t xml:space="preserve"> </w:t>
      </w:r>
      <w:r>
        <w:rPr>
          <w:rStyle w:val="StringTok"/>
        </w:rPr>
        <w:t xml:space="preserve">"2026-08"</w:t>
      </w:r>
      <w:r>
        <w:br/>
      </w:r>
      <w:r>
        <w:rPr>
          <w:rStyle w:val="FunctionTok"/>
        </w:rPr>
        <w:t xml:space="preserve">date_modified</w:t>
      </w:r>
      <w:r>
        <w:rPr>
          <w:rStyle w:val="KeywordTok"/>
        </w:rPr>
        <w:t xml:space="preserve">:</w:t>
      </w:r>
      <w:r>
        <w:rPr>
          <w:rStyle w:val="AttributeTok"/>
        </w:rPr>
        <w:t xml:space="preserve"> </w:t>
      </w:r>
      <w:r>
        <w:rPr>
          <w:rStyle w:val="StringTok"/>
        </w:rPr>
        <w:t xml:space="preserve">"2026-08-12"</w:t>
      </w:r>
      <w:r>
        <w:br/>
      </w:r>
      <w:r>
        <w:rPr>
          <w:rStyle w:val="FunctionTok"/>
        </w:rPr>
        <w:t xml:space="preserve">word_count</w:t>
      </w:r>
      <w:r>
        <w:rPr>
          <w:rStyle w:val="KeywordTok"/>
        </w:rPr>
        <w:t xml:space="preserve">:</w:t>
      </w:r>
      <w:r>
        <w:rPr>
          <w:rStyle w:val="AttributeTok"/>
        </w:rPr>
        <w:t xml:space="preserve"> </w:t>
      </w:r>
      <w:r>
        <w:rPr>
          <w:rStyle w:val="DecValTok"/>
        </w:rPr>
        <w:t xml:space="preserve">1771</w:t>
      </w:r>
    </w:p>
    <w:p>
      <w:r>
        <w:pict>
          <v:rect style="width:0;height:1.5pt" o:hralign="center" o:hrstd="t" o:hr="t"/>
        </w:pict>
      </w:r>
    </w:p>
    <w:bookmarkEnd w:id="16"/>
    <w:bookmarkStart w:id="36" w:name="X6455971872c94e19d6578f0846631591e26397e"/>
    <w:p>
      <w:pPr>
        <w:pStyle w:val="Heading1"/>
      </w:pPr>
      <w:r>
        <w:t xml:space="preserve">Pembiayaan Kreatif: Checklist Kesiapan Pemda Sebelum Mulai</w:t>
      </w:r>
    </w:p>
    <w:p>
      <w:pPr>
        <w:pStyle w:val="FirstParagraph"/>
      </w:pPr>
      <w:r>
        <w:t xml:space="preserve">Pola ini berulang di banyak daerah: rapat perencanaan memutuskan sebuah proyek infrastruktur akan didorong lewat skema KPBU karena APBD tidak sanggup menanggungnya, lalu delapan bulan kemudian berkasnya berhenti. Prastudi kelayakan belum ada, belum jelas siapa yang bertanggung jawab, dan konsekuensi anggaran lintas tahunnya belum pernah dibicarakan dengan DPRD. Instrumennya tidak keliru; urutan kerjanya yang terbalik. Artikel ini menyusun ulang urutan itu: delapan prasyarat yang harus dilewati daerah sebelum proyeknya layak masuk skema</w:t>
      </w:r>
      <w:r>
        <w:t xml:space="preserve"> </w:t>
      </w:r>
      <w:hyperlink r:id="rId17">
        <w:r>
          <w:rPr>
            <w:rStyle w:val="Hyperlink"/>
          </w:rPr>
          <w:t xml:space="preserve">pembiayaan kreatif untuk infrastruktur daerah</w:t>
        </w:r>
      </w:hyperlink>
      <w:r>
        <w:t xml:space="preserve">, dokumen yang harus keluar di tiap langkah, dan kapan sebaiknya menunda.</w:t>
      </w:r>
    </w:p>
    <w:p>
      <w:pPr>
        <w:pStyle w:val="BlockText"/>
      </w:pPr>
      <w:r>
        <w:rPr>
          <w:b/>
          <w:bCs/>
        </w:rPr>
        <w:t xml:space="preserve">Ringkasnya:</w:t>
      </w:r>
      <w:r>
        <w:t xml:space="preserve"> </w:t>
      </w:r>
      <w:r>
        <w:t xml:space="preserve">Kesiapan pemerintah daerah untuk pembiayaan kreatif infrastruktur adalah kondisi ketika sebuah proyek KPBU daerah memenuhi tiga lapis syarat sekaligus: kesiapan proyek (Studi Pendahuluan dan prastudi kelayakan tersedia), kesiapan kelembagaan (PJPK ditetapkan, Tim KPBU terbentuk dan aktif), serta kesiapan fiskal (skema pengembalian investasi jelas, dan ada persetujuan DPRD bila melibatkan komitmen anggaran lintas tahun).</w:t>
      </w:r>
    </w:p>
    <w:bookmarkStart w:id="19" w:name="X36822d6834632d486006c7c58087cfed1ec5ba5"/>
    <w:p>
      <w:pPr>
        <w:pStyle w:val="Heading2"/>
      </w:pPr>
      <w:r>
        <w:t xml:space="preserve">Apa arti</w:t>
      </w:r>
      <w:r>
        <w:t xml:space="preserve"> </w:t>
      </w:r>
      <w:r>
        <w:t xml:space="preserve">“siap”</w:t>
      </w:r>
      <w:r>
        <w:t xml:space="preserve"> </w:t>
      </w:r>
      <w:r>
        <w:t xml:space="preserve">bagi daerah yang ingin memakai pembiayaan kreatif?</w:t>
      </w:r>
    </w:p>
    <w:p>
      <w:pPr>
        <w:pStyle w:val="FirstParagraph"/>
      </w:pPr>
      <w:r>
        <w:t xml:space="preserve">Siap berarti tiga hal terpenuhi bersamaan, bukan bergantian: ada dokumen yang membuktikan proyek layak, ada kelembagaan yang mengerjakannya setiap hari, dan ada kejelasan siapa membayar dari pos mana. Memilih instrumen (KPBU, pinjaman daerah, obligasi daerah, atau kombinasinya) adalah langkah terakhir dalam urutan ini, bukan langkah pertama.</w:t>
      </w:r>
    </w:p>
    <w:p>
      <w:pPr>
        <w:pStyle w:val="BodyText"/>
      </w:pPr>
      <w:r>
        <w:t xml:space="preserve">Ketiganya punya pemilik pekerjaan yang berbeda:</w:t>
      </w:r>
    </w:p>
    <w:p>
      <w:pPr>
        <w:pStyle w:val="Compact"/>
        <w:numPr>
          <w:ilvl w:val="0"/>
          <w:numId w:val="1001"/>
        </w:numPr>
      </w:pPr>
      <w:r>
        <w:rPr>
          <w:b/>
          <w:bCs/>
        </w:rPr>
        <w:t xml:space="preserve">Kesiapan proyek.</w:t>
      </w:r>
      <w:r>
        <w:t xml:space="preserve"> </w:t>
      </w:r>
      <w:r>
        <w:t xml:space="preserve">Studi Pendahuluan dan prastudi kelayakan tersedia, bukan sekadar usulan dalam rapat.</w:t>
      </w:r>
    </w:p>
    <w:p>
      <w:pPr>
        <w:pStyle w:val="Compact"/>
        <w:numPr>
          <w:ilvl w:val="0"/>
          <w:numId w:val="1001"/>
        </w:numPr>
      </w:pPr>
      <w:r>
        <w:rPr>
          <w:b/>
          <w:bCs/>
        </w:rPr>
        <w:t xml:space="preserve">Kesiapan kelembagaan.</w:t>
      </w:r>
      <w:r>
        <w:t xml:space="preserve"> </w:t>
      </w:r>
      <w:r>
        <w:t xml:space="preserve">PJPK (</w:t>
      </w:r>
      <w:r>
        <w:rPr>
          <w:i/>
          <w:iCs/>
        </w:rPr>
        <w:t xml:space="preserve">Penanggung Jawab Proyek Kerja Sama</w:t>
      </w:r>
      <w:r>
        <w:t xml:space="preserve">) ditetapkan, dan tim penyiapan sudah berjalan.</w:t>
      </w:r>
    </w:p>
    <w:p>
      <w:pPr>
        <w:pStyle w:val="Compact"/>
        <w:numPr>
          <w:ilvl w:val="0"/>
          <w:numId w:val="1001"/>
        </w:numPr>
      </w:pPr>
      <w:r>
        <w:rPr>
          <w:b/>
          <w:bCs/>
        </w:rPr>
        <w:t xml:space="preserve">Kesiapan fiskal.</w:t>
      </w:r>
      <w:r>
        <w:t xml:space="preserve"> </w:t>
      </w:r>
      <w:r>
        <w:t xml:space="preserve">Sumber pengembalian investasi jelas, dan ruang APBD sanggup menanggungnya sampai perjanjian berakhir.</w:t>
      </w:r>
    </w:p>
    <w:p>
      <w:pPr>
        <w:pStyle w:val="FirstParagraph"/>
      </w:pPr>
      <w:r>
        <w:t xml:space="preserve">Yang menahan proyek daerah umumnya bukan kelangkaan pilihan pendanaan.</w:t>
      </w:r>
      <w:r>
        <w:t xml:space="preserve"> </w:t>
      </w:r>
      <w:hyperlink r:id="rId18">
        <w:r>
          <w:rPr>
            <w:rStyle w:val="Hyperlink"/>
          </w:rPr>
          <w:t xml:space="preserve">DJPK Kementerian Keuangan menyatakan pada 26 Mei 2026</w:t>
        </w:r>
      </w:hyperlink>
      <w:r>
        <w:t xml:space="preserve"> </w:t>
      </w:r>
      <w:r>
        <w:t xml:space="preserve">bahwa hambatan utamanya adalah komitmen dan kesiapan kapasitas teknis pemda, bukan sempitnya menu instrumen yang tersedia.</w:t>
      </w:r>
    </w:p>
    <w:p>
      <w:pPr>
        <w:pStyle w:val="BodyText"/>
      </w:pPr>
      <w:r>
        <w:t xml:space="preserve">Pekerjaan rumahnya, dengan kata lain, ada di sisi daerah.</w:t>
      </w:r>
    </w:p>
    <w:bookmarkEnd w:id="19"/>
    <w:bookmarkStart w:id="22" w:name="X00ef116d7f1a581c596755b7cafd9f1bd2535b1"/>
    <w:p>
      <w:pPr>
        <w:pStyle w:val="Heading2"/>
      </w:pPr>
      <w:r>
        <w:t xml:space="preserve">Delapan prasyarat sebelum proyek daerah masuk skema pembiayaan kreatif</w:t>
      </w:r>
    </w:p>
    <w:p>
      <w:pPr>
        <w:pStyle w:val="FirstParagraph"/>
      </w:pPr>
      <w:r>
        <w:t xml:space="preserve">Delapan prasyarat berikut mengikuti dua tahap awal KPBU, yaitu Perencanaan dan Penyiapan, sesuai kerangka Perpres No. 38 Tahun 2015 dan portal Kantor Bersama KPBU Kementerian Keuangan. Setiap langkah menghasilkan satu keluaran berupa dokumen atau penetapan. Bila keluarannya tidak ada, langkah berikutnya akan tertahan di titik yang sama.</w:t>
      </w:r>
    </w:p>
    <w:p>
      <w:pPr>
        <w:pStyle w:val="BodyText"/>
      </w:pPr>
      <w:r>
        <w:t xml:space="preserve">Perpres 38/2015 mengenal tiga tahapan formal: Perencanaan, Penyiapan, dan Transaksi. Konstruksi dan operasi berjalan sesudahnya sebagai pelaksanaan perjanjian, dan gambaran utuh</w:t>
      </w:r>
      <w:r>
        <w:t xml:space="preserve"> </w:t>
      </w:r>
      <w:hyperlink r:id="rId20">
        <w:r>
          <w:rPr>
            <w:rStyle w:val="Hyperlink"/>
          </w:rPr>
          <w:t xml:space="preserve">tahapan proyek KPBU</w:t>
        </w:r>
      </w:hyperlink>
      <w:r>
        <w:t xml:space="preserve"> </w:t>
      </w:r>
      <w:r>
        <w:t xml:space="preserve">berguna sebagai peta besarnya.</w:t>
      </w:r>
    </w:p>
    <w:p>
      <w:pPr>
        <w:pStyle w:val="Compact"/>
        <w:numPr>
          <w:ilvl w:val="0"/>
          <w:numId w:val="1002"/>
        </w:numPr>
      </w:pPr>
      <w:r>
        <w:rPr>
          <w:b/>
          <w:bCs/>
        </w:rPr>
        <w:t xml:space="preserve">Proyek tercantum di RPJMD dan RKPD, lalu lolos Studi Pendahuluan.</w:t>
      </w:r>
      <w:r>
        <w:t xml:space="preserve"> </w:t>
      </w:r>
      <w:r>
        <w:t xml:space="preserve">Dokumen ini wajib memuat analisis kebutuhan, kriteria kepatuhan, kriteria</w:t>
      </w:r>
      <w:r>
        <w:t xml:space="preserve"> </w:t>
      </w:r>
      <w:r>
        <w:rPr>
          <w:i/>
          <w:iCs/>
        </w:rPr>
        <w:t xml:space="preserve">Value for Money</w:t>
      </w:r>
      <w:r>
        <w:t xml:space="preserve"> </w:t>
      </w:r>
      <w:r>
        <w:t xml:space="preserve">(VfM), serta potensi pendapatan dan skema pembiayaan (</w:t>
      </w:r>
      <w:hyperlink r:id="rId21">
        <w:r>
          <w:rPr>
            <w:rStyle w:val="Hyperlink"/>
          </w:rPr>
          <w:t xml:space="preserve">Kantor Bersama KPBU Kemenkeu</w:t>
        </w:r>
      </w:hyperlink>
      <w:r>
        <w:t xml:space="preserve">, diakses Agustus 2026).</w:t>
      </w:r>
      <w:r>
        <w:t xml:space="preserve"> </w:t>
      </w:r>
      <w:r>
        <w:rPr>
          <w:i/>
          <w:iCs/>
        </w:rPr>
        <w:t xml:space="preserve">Keluaran: dokumen Studi Pendahuluan.</w:t>
      </w:r>
    </w:p>
    <w:p>
      <w:pPr>
        <w:pStyle w:val="Compact"/>
        <w:numPr>
          <w:ilvl w:val="0"/>
          <w:numId w:val="1002"/>
        </w:numPr>
      </w:pPr>
      <w:r>
        <w:rPr>
          <w:b/>
          <w:bCs/>
        </w:rPr>
        <w:t xml:space="preserve">Prastudi kelayakan disusun, lalu diperdalam.</w:t>
      </w:r>
      <w:r>
        <w:t xml:space="preserve"> </w:t>
      </w:r>
      <w:r>
        <w:t xml:space="preserve">Kajian awal lebih dulu, kemudian kajian akhir, padanan</w:t>
      </w:r>
      <w:r>
        <w:t xml:space="preserve"> </w:t>
      </w:r>
      <w:r>
        <w:rPr>
          <w:i/>
          <w:iCs/>
        </w:rPr>
        <w:t xml:space="preserve">outline business case</w:t>
      </w:r>
      <w:r>
        <w:t xml:space="preserve"> </w:t>
      </w:r>
      <w:r>
        <w:t xml:space="preserve">menuju</w:t>
      </w:r>
      <w:r>
        <w:t xml:space="preserve"> </w:t>
      </w:r>
      <w:r>
        <w:rPr>
          <w:i/>
          <w:iCs/>
        </w:rPr>
        <w:t xml:space="preserve">final business case</w:t>
      </w:r>
      <w:r>
        <w:t xml:space="preserve">.</w:t>
      </w:r>
      <w:r>
        <w:t xml:space="preserve"> </w:t>
      </w:r>
      <w:r>
        <w:rPr>
          <w:i/>
          <w:iCs/>
        </w:rPr>
        <w:t xml:space="preserve">Keluaran: kedua kajian tersebut.</w:t>
      </w:r>
    </w:p>
    <w:p>
      <w:pPr>
        <w:pStyle w:val="Compact"/>
        <w:numPr>
          <w:ilvl w:val="0"/>
          <w:numId w:val="1002"/>
        </w:numPr>
      </w:pPr>
      <w:r>
        <w:rPr>
          <w:b/>
          <w:bCs/>
        </w:rPr>
        <w:t xml:space="preserve">PJPK ditetapkan dengan kewenangan yang jelas.</w:t>
      </w:r>
      <w:r>
        <w:t xml:space="preserve"> </w:t>
      </w:r>
      <w:r>
        <w:t xml:space="preserve">Di daerah, peran ini melekat pada kepala daerah atau perangkat daerah yang berwenang di sektornya, mengikuti kerangka umum Perpres No. 38 Tahun 2015 (berlaku per verifikasi 2026).</w:t>
      </w:r>
      <w:r>
        <w:t xml:space="preserve"> </w:t>
      </w:r>
      <w:r>
        <w:rPr>
          <w:i/>
          <w:iCs/>
        </w:rPr>
        <w:t xml:space="preserve">Keluaran: penetapan PJPK.</w:t>
      </w:r>
    </w:p>
    <w:p>
      <w:pPr>
        <w:pStyle w:val="Compact"/>
        <w:numPr>
          <w:ilvl w:val="0"/>
          <w:numId w:val="1002"/>
        </w:numPr>
      </w:pPr>
      <w:r>
        <w:rPr>
          <w:b/>
          <w:bCs/>
        </w:rPr>
        <w:t xml:space="preserve">Tim KPBU dibentuk dan benar-benar bekerja.</w:t>
      </w:r>
      <w:r>
        <w:t xml:space="preserve"> </w:t>
      </w:r>
      <w:r>
        <w:t xml:space="preserve">Pembentukannya adalah satu dari empat syarat resmi mengakses Fasilitas Penyiapan Proyek. Istilah</w:t>
      </w:r>
      <w:r>
        <w:t xml:space="preserve"> </w:t>
      </w:r>
      <w:r>
        <w:t xml:space="preserve">“simpul KPBU”</w:t>
      </w:r>
      <w:r>
        <w:t xml:space="preserve"> </w:t>
      </w:r>
      <w:r>
        <w:t xml:space="preserve">kadang dipakai secara informal untuk unit ini, tetapi sebutan yang berpijak pada ketentuan akses fasilitas adalah Tim KPBU.</w:t>
      </w:r>
      <w:r>
        <w:t xml:space="preserve"> </w:t>
      </w:r>
      <w:r>
        <w:rPr>
          <w:i/>
          <w:iCs/>
        </w:rPr>
        <w:t xml:space="preserve">Keluaran: SK pembentukan plus bukti kerja nyata.</w:t>
      </w:r>
    </w:p>
    <w:p>
      <w:pPr>
        <w:pStyle w:val="Compact"/>
        <w:numPr>
          <w:ilvl w:val="0"/>
          <w:numId w:val="1002"/>
        </w:numPr>
      </w:pPr>
      <w:r>
        <w:rPr>
          <w:b/>
          <w:bCs/>
        </w:rPr>
        <w:t xml:space="preserve">Lahan dan perizinan dasar dipastikan.</w:t>
      </w:r>
      <w:r>
        <w:t xml:space="preserve"> </w:t>
      </w:r>
      <w:r>
        <w:t xml:space="preserve">Pengadaan tanah tunduk pada UU No. 2 Tahun 2012, kesesuaian tata ruang diperiksa lewat KKPR dalam PP No. 21 Tahun 2021, dan persetujuan lingkungan mengikuti PP No. 22 Tahun 2021 (ketiganya berstatus berlaku per Agustus 2026).</w:t>
      </w:r>
      <w:r>
        <w:t xml:space="preserve"> </w:t>
      </w:r>
      <w:r>
        <w:rPr>
          <w:i/>
          <w:iCs/>
        </w:rPr>
        <w:t xml:space="preserve">Keluaran: dokumen tanah, KKPR, persetujuan lingkungan.</w:t>
      </w:r>
    </w:p>
    <w:p>
      <w:pPr>
        <w:pStyle w:val="Compact"/>
        <w:numPr>
          <w:ilvl w:val="0"/>
          <w:numId w:val="1002"/>
        </w:numPr>
      </w:pPr>
      <w:r>
        <w:rPr>
          <w:b/>
          <w:bCs/>
        </w:rPr>
        <w:t xml:space="preserve">Skema pengembalian investasi ditetapkan.</w:t>
      </w:r>
      <w:r>
        <w:t xml:space="preserve"> </w:t>
      </w:r>
      <w:r>
        <w:t xml:space="preserve">Pilihannya</w:t>
      </w:r>
      <w:r>
        <w:t xml:space="preserve"> </w:t>
      </w:r>
      <w:r>
        <w:rPr>
          <w:i/>
          <w:iCs/>
        </w:rPr>
        <w:t xml:space="preserve">user payment</w:t>
      </w:r>
      <w:r>
        <w:t xml:space="preserve">, saat pengguna membayar langsung, atau Availability Payment, saat pemda yang membayar.</w:t>
      </w:r>
      <w:r>
        <w:t xml:space="preserve"> </w:t>
      </w:r>
      <w:r>
        <w:rPr>
          <w:i/>
          <w:iCs/>
        </w:rPr>
        <w:t xml:space="preserve">Keluaran: penetapan skema dalam kajian kelayakan.</w:t>
      </w:r>
    </w:p>
    <w:p>
      <w:pPr>
        <w:pStyle w:val="Compact"/>
        <w:numPr>
          <w:ilvl w:val="0"/>
          <w:numId w:val="1002"/>
        </w:numPr>
      </w:pPr>
      <w:r>
        <w:rPr>
          <w:b/>
          <w:bCs/>
        </w:rPr>
        <w:t xml:space="preserve">Bila memakai Availability Payment, komitmen anggaran lintas tahun disiapkan.</w:t>
      </w:r>
      <w:r>
        <w:t xml:space="preserve"> </w:t>
      </w:r>
      <w:r>
        <w:t xml:space="preserve">Praktik bakunya, komitmen itu masuk KUA-PPAS (</w:t>
      </w:r>
      <w:r>
        <w:rPr>
          <w:i/>
          <w:iCs/>
        </w:rPr>
        <w:t xml:space="preserve">Kebijakan Umum APBD dan Prioritas Plafon Anggaran Sementara</w:t>
      </w:r>
      <w:r>
        <w:t xml:space="preserve">) dan dibahas bersama DPRD dalam kerangka pengelolaan keuangan daerah (PP No. 12 Tahun 2019 dan Permendagri No. 77 Tahun 2020, keduanya berlaku per Agustus 2026).</w:t>
      </w:r>
      <w:r>
        <w:t xml:space="preserve"> </w:t>
      </w:r>
      <w:r>
        <w:rPr>
          <w:i/>
          <w:iCs/>
        </w:rPr>
        <w:t xml:space="preserve">Keluaran: KUA-PPAS dan persetujuan DPRD.</w:t>
      </w:r>
    </w:p>
    <w:p>
      <w:pPr>
        <w:pStyle w:val="Compact"/>
        <w:numPr>
          <w:ilvl w:val="0"/>
          <w:numId w:val="1002"/>
        </w:numPr>
      </w:pPr>
      <w:r>
        <w:rPr>
          <w:b/>
          <w:bCs/>
        </w:rPr>
        <w:t xml:space="preserve">Kebutuhan dukungan pemerintah diidentifikasi sejak awal.</w:t>
      </w:r>
      <w:r>
        <w:t xml:space="preserve"> </w:t>
      </w:r>
      <w:r>
        <w:t xml:space="preserve">Pengajuan Dukungan Kelayakan, Fasilitas Penyiapan Proyek, atau penjaminan dilakukan pada tahap Penyiapan, bukan setelah lelang sepi peminat.</w:t>
      </w:r>
      <w:r>
        <w:t xml:space="preserve"> </w:t>
      </w:r>
      <w:r>
        <w:rPr>
          <w:i/>
          <w:iCs/>
        </w:rPr>
        <w:t xml:space="preserve">Keluaran: berkas pengajuan dukungan pemerintah.</w:t>
      </w:r>
    </w:p>
    <w:p>
      <w:pPr>
        <w:pStyle w:val="FirstParagraph"/>
      </w:pPr>
      <w:r>
        <w:t xml:space="preserve">Tidak ada sumber resmi yang menetapkan lama waktu tiap langkah; rentang yang beredar di kalangan praktisi bersifat indikatif dan berbeda jauh antarsektor.</w:t>
      </w:r>
    </w:p>
    <w:bookmarkEnd w:id="22"/>
    <w:bookmarkStart w:id="24" w:name="Xe7218df0530bde83e4869534dafb27d34f335a9"/>
    <w:p>
      <w:pPr>
        <w:pStyle w:val="Heading2"/>
      </w:pPr>
      <w:r>
        <w:t xml:space="preserve">Bagaimana pemerintah daerah mengakses Dukungan Kelayakan (VGF) dan Fasilitas Penyiapan Proyek (PDF)?</w:t>
      </w:r>
    </w:p>
    <w:p>
      <w:pPr>
        <w:pStyle w:val="FirstParagraph"/>
      </w:pPr>
      <w:r>
        <w:t xml:space="preserve">Dukungan Kelayakan atau VGF menutup sebagian biaya konstruksi proyek yang layak secara ekonomi tetapi belum layak secara finansial. Fasilitas Penyiapan Proyek atau PDF membiayai penyusunan prastudi kelayakan dan pendampingan transaksi. Keduanya diajukan ke Kementerian Keuangan pada tahap Penyiapan, dan tidak satu pun bersifat otomatis disetujui.</w:t>
      </w:r>
    </w:p>
    <w:p>
      <w:pPr>
        <w:pStyle w:val="BodyText"/>
      </w:pPr>
      <w:r>
        <w:t xml:space="preserve">Syarat pengajuan PDF tercantum eksplisit di</w:t>
      </w:r>
      <w:r>
        <w:t xml:space="preserve"> </w:t>
      </w:r>
      <w:hyperlink r:id="rId23">
        <w:r>
          <w:rPr>
            <w:rStyle w:val="Hyperlink"/>
          </w:rPr>
          <w:t xml:space="preserve">portal Kantor Bersama KPBU</w:t>
        </w:r>
      </w:hyperlink>
      <w:r>
        <w:t xml:space="preserve"> </w:t>
      </w:r>
      <w:r>
        <w:t xml:space="preserve">(diakses Agustus 2026): studi kelayakan awal, pembentukan Tim KPBU, rencana bisnis, dan dokumen pengadaan lahan. Cakupannya dua kelompok, yaitu penyiapan proyek dan pendampingan transaksi hingga</w:t>
      </w:r>
      <w:r>
        <w:t xml:space="preserve"> </w:t>
      </w:r>
      <w:r>
        <w:rPr>
          <w:i/>
          <w:iCs/>
        </w:rPr>
        <w:t xml:space="preserve">financial close</w:t>
      </w:r>
      <w:r>
        <w:t xml:space="preserve">.</w:t>
      </w:r>
    </w:p>
    <w:p>
      <w:pPr>
        <w:pStyle w:val="BodyText"/>
      </w:pPr>
      <w:r>
        <w:t xml:space="preserve">VGF bukan hibah bebas syarat. Ada penilaian, prinsip pengguna membayar, dan kewajiban memilih badan usaha lewat lelang terbuka. Penjaminan, VGF, Availability Payment, dan fasilitas penyiapan kini berada di bawah satu payung yang sama, yaitu PMK No. 68 Tahun 2024 yang berlaku sejak 18 Oktober 2024. Catatan praktis untuk tim daerah: sejumlah halaman portal resmi masih menampilkan nomor PMK yang sudah dicabut, sehingga angka ambang yang tercantum di sana sebaiknya diperlakukan sebagai kriteria historis, bukan aturan berlaku.</w:t>
      </w:r>
    </w:p>
    <w:p>
      <w:pPr>
        <w:pStyle w:val="BodyText"/>
      </w:pPr>
      <w:r>
        <w:t xml:space="preserve">Jalur ketiga adalah penjaminan pemerintah atas risiko yang menjadi tanggung jawab PJPK dalam kontrak, diterbitkan PT PII selaku Badan Usaha Penjaminan Infrastruktur di bawah Kementerian Keuangan, bukan sebagai pemberi dana.</w:t>
      </w:r>
    </w:p>
    <w:bookmarkEnd w:id="24"/>
    <w:bookmarkStart w:id="25" w:name="X549ed24d13ef35f6536afe23fbe4117c6c1425c"/>
    <w:p>
      <w:pPr>
        <w:pStyle w:val="Heading2"/>
      </w:pPr>
      <w:r>
        <w:t xml:space="preserve">Availability Payment: apa yang sebenarnya diikat oleh APBD Anda</w:t>
      </w:r>
    </w:p>
    <w:p>
      <w:pPr>
        <w:pStyle w:val="FirstParagraph"/>
      </w:pPr>
      <w:r>
        <w:t xml:space="preserve">Availability Payment adalah pembayaran berkala pemda atas ketersediaan layanan yang memenuhi standar dalam perjanjian, bukan cicilan konstruksi. AP tidak dibayarkan selama masa konstruksi, dan besarannya dapat dipotong bila layanan di bawah standar. Dasar hukumnya Permendagri No. 96 Tahun 2016 tentang Pembayaran Ketersediaan Layanan, ditetapkan 17 November 2016 dan berstatus berlaku per verifikasi 2026.</w:t>
      </w:r>
    </w:p>
    <w:p>
      <w:pPr>
        <w:pStyle w:val="BodyText"/>
      </w:pPr>
      <w:r>
        <w:t xml:space="preserve">Konsekuensinya sering luput: yang diikat bukan satu tahun anggaran, melainkan deretan tahun anggaran sepanjang masa perjanjian, umumnya melewati satu periode jabatan kepala daerah.</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Tahap proyek</w:t>
            </w:r>
          </w:p>
        </w:tc>
        <w:tc>
          <w:tcPr/>
          <w:p>
            <w:pPr>
              <w:pStyle w:val="Compact"/>
            </w:pPr>
            <w:r>
              <w:t xml:space="preserve">Yang dibayar pemda</w:t>
            </w:r>
          </w:p>
        </w:tc>
        <w:tc>
          <w:tcPr/>
          <w:p>
            <w:pPr>
              <w:pStyle w:val="Compact"/>
            </w:pPr>
            <w:r>
              <w:t xml:space="preserve">Pos anggaran</w:t>
            </w:r>
          </w:p>
        </w:tc>
        <w:tc>
          <w:tcPr/>
          <w:p>
            <w:pPr>
              <w:pStyle w:val="Compact"/>
            </w:pPr>
            <w:r>
              <w:t xml:space="preserve">Risiko jika terlewat</w:t>
            </w:r>
          </w:p>
        </w:tc>
      </w:tr>
      <w:tr>
        <w:tc>
          <w:tcPr/>
          <w:p>
            <w:pPr>
              <w:pStyle w:val="Compact"/>
            </w:pPr>
            <w:r>
              <w:t xml:space="preserve">Penyiapan &amp; Transaksi</w:t>
            </w:r>
          </w:p>
        </w:tc>
        <w:tc>
          <w:tcPr/>
          <w:p>
            <w:pPr>
              <w:pStyle w:val="Compact"/>
            </w:pPr>
            <w:r>
              <w:t xml:space="preserve">Belum ada AP; badan usaha menanggung sebagian besar biaya persiapan</w:t>
            </w:r>
          </w:p>
        </w:tc>
        <w:tc>
          <w:tcPr/>
          <w:p>
            <w:pPr>
              <w:pStyle w:val="Compact"/>
            </w:pPr>
            <w:r>
              <w:t xml:space="preserve">Belanja penyiapan proyek (sebagian dapat ditopang PDF)</w:t>
            </w:r>
          </w:p>
        </w:tc>
        <w:tc>
          <w:tcPr/>
          <w:p>
            <w:pPr>
              <w:pStyle w:val="Compact"/>
            </w:pPr>
            <w:r>
              <w:t xml:space="preserve">Lelang tanpa payung anggaran AP, peminat ragu masuk</w:t>
            </w:r>
          </w:p>
        </w:tc>
      </w:tr>
      <w:tr>
        <w:tc>
          <w:tcPr/>
          <w:p>
            <w:pPr>
              <w:pStyle w:val="Compact"/>
            </w:pPr>
            <w:r>
              <w:t xml:space="preserve">Konstruksi</w:t>
            </w:r>
          </w:p>
        </w:tc>
        <w:tc>
          <w:tcPr/>
          <w:p>
            <w:pPr>
              <w:pStyle w:val="Compact"/>
            </w:pPr>
            <w:r>
              <w:t xml:space="preserve">Tidak ada pembayaran AP</w:t>
            </w:r>
          </w:p>
        </w:tc>
        <w:tc>
          <w:tcPr/>
          <w:p>
            <w:pPr>
              <w:pStyle w:val="Compact"/>
            </w:pPr>
            <w:r>
              <w:t xml:space="preserve">Tidak ada pos AP</w:t>
            </w:r>
          </w:p>
        </w:tc>
        <w:tc>
          <w:tcPr/>
          <w:p>
            <w:pPr>
              <w:pStyle w:val="Compact"/>
            </w:pPr>
            <w:r>
              <w:t xml:space="preserve">Menganggarkan AP terlalu dini berpotensi menjadi temuan</w:t>
            </w:r>
          </w:p>
        </w:tc>
      </w:tr>
      <w:tr>
        <w:tc>
          <w:tcPr/>
          <w:p>
            <w:pPr>
              <w:pStyle w:val="Compact"/>
            </w:pPr>
            <w:r>
              <w:t xml:space="preserve">Setahun sebelum operasi</w:t>
            </w:r>
          </w:p>
        </w:tc>
        <w:tc>
          <w:tcPr/>
          <w:p>
            <w:pPr>
              <w:pStyle w:val="Compact"/>
            </w:pPr>
            <w:r>
              <w:t xml:space="preserve">Payung anggaran AP tahun pertama disiapkan</w:t>
            </w:r>
          </w:p>
        </w:tc>
        <w:tc>
          <w:tcPr/>
          <w:p>
            <w:pPr>
              <w:pStyle w:val="Compact"/>
            </w:pPr>
            <w:r>
              <w:t xml:space="preserve">KUA-PPAS tahun berjalan, dibahas dengan DPRD</w:t>
            </w:r>
          </w:p>
        </w:tc>
        <w:tc>
          <w:tcPr/>
          <w:p>
            <w:pPr>
              <w:pStyle w:val="Compact"/>
            </w:pPr>
            <w:r>
              <w:t xml:space="preserve">Pembayaran perdana tanpa dasar anggaran, risiko wanprestasi</w:t>
            </w:r>
          </w:p>
        </w:tc>
      </w:tr>
      <w:tr>
        <w:tc>
          <w:tcPr/>
          <w:p>
            <w:pPr>
              <w:pStyle w:val="Compact"/>
            </w:pPr>
            <w:r>
              <w:t xml:space="preserve">Operasi</w:t>
            </w:r>
          </w:p>
        </w:tc>
        <w:tc>
          <w:tcPr/>
          <w:p>
            <w:pPr>
              <w:pStyle w:val="Compact"/>
            </w:pPr>
            <w:r>
              <w:t xml:space="preserve">AP berkala sesuai kinerja layanan</w:t>
            </w:r>
          </w:p>
        </w:tc>
        <w:tc>
          <w:tcPr/>
          <w:p>
            <w:pPr>
              <w:pStyle w:val="Compact"/>
            </w:pPr>
            <w:r>
              <w:t xml:space="preserve">Belanja APBD tahunan sepanjang perjanjian</w:t>
            </w:r>
          </w:p>
        </w:tc>
        <w:tc>
          <w:tcPr/>
          <w:p>
            <w:pPr>
              <w:pStyle w:val="Compact"/>
            </w:pPr>
            <w:r>
              <w:t xml:space="preserve">Ruang fiskal periode kepala daerah berikutnya ikut terikat</w:t>
            </w:r>
          </w:p>
        </w:tc>
      </w:tr>
    </w:tbl>
    <w:p>
      <w:pPr>
        <w:pStyle w:val="BodyText"/>
      </w:pPr>
      <w:r>
        <w:t xml:space="preserve">Kerangka pengelolaan keuangan daerah menempatkan komitmen semacam ini sebagai urusan bersama eksekutif dan DPRD, bukan keputusan administratif sepihak.</w:t>
      </w:r>
    </w:p>
    <w:bookmarkEnd w:id="25"/>
    <w:bookmarkStart w:id="27" w:name="Xdc560f9503de2f2bcc846ff4e849d67e1015b6a"/>
    <w:p>
      <w:pPr>
        <w:pStyle w:val="Heading2"/>
      </w:pPr>
      <w:r>
        <w:t xml:space="preserve">Kapan daerah sebaiknya BELUM mengambil skema pembiayaan kreatif</w:t>
      </w:r>
    </w:p>
    <w:p>
      <w:pPr>
        <w:pStyle w:val="FirstParagraph"/>
      </w:pPr>
      <w:r>
        <w:t xml:space="preserve">Tunda bila proyek tidak punya arus pendapatan maupun ruang fiskal untuk Availability Payment, bila nilainya terlalu kecil dibanding biaya penyiapan dan transaksi, bila belum ada satu pun dokumen penyiapan, atau bila yang sebenarnya dibutuhkan adalah rehabilitasi aset yang lebih murah lewat APBD atau DAK (</w:t>
      </w:r>
      <w:r>
        <w:rPr>
          <w:i/>
          <w:iCs/>
        </w:rPr>
        <w:t xml:space="preserve">Dana Alokasi Khusus</w:t>
      </w:r>
      <w:r>
        <w:t xml:space="preserve">).</w:t>
      </w:r>
    </w:p>
    <w:p>
      <w:pPr>
        <w:pStyle w:val="Compact"/>
        <w:numPr>
          <w:ilvl w:val="0"/>
          <w:numId w:val="1003"/>
        </w:numPr>
      </w:pPr>
      <w:r>
        <w:rPr>
          <w:b/>
          <w:bCs/>
        </w:rPr>
        <w:t xml:space="preserve">Skala proyek tidak sebanding dengan biaya transaksinya.</w:t>
      </w:r>
      <w:r>
        <w:t xml:space="preserve"> </w:t>
      </w:r>
      <w:r>
        <w:t xml:space="preserve">Kajian, lelang, dan pendampingan hukum berbiaya relatif tetap, sehingga menggerus manfaat pada proyek kecil. Sebagai gambaran, KPBU Penerangan Jalan Umum Kabupaten Madiun (proyek APJ berskema KPBU pertama di Indonesia, beroperasi komersial sejak 18 Juli 2023) bernilai investasi sekitar Rp 100 miliar menurut portal KPBU Kementerian Keuangan, diakses Agustus 2026.</w:t>
      </w:r>
    </w:p>
    <w:p>
      <w:pPr>
        <w:pStyle w:val="Compact"/>
        <w:numPr>
          <w:ilvl w:val="0"/>
          <w:numId w:val="1003"/>
        </w:numPr>
      </w:pPr>
      <w:r>
        <w:rPr>
          <w:b/>
          <w:bCs/>
        </w:rPr>
        <w:t xml:space="preserve">Belum ada tim penyiapan yang aktif.</w:t>
      </w:r>
      <w:r>
        <w:t xml:space="preserve"> </w:t>
      </w:r>
      <w:r>
        <w:t xml:space="preserve">SK tanpa aktivitas nyata tidak akan memenuhi syarat pengajuan fasilitas pusat.</w:t>
      </w:r>
    </w:p>
    <w:p>
      <w:pPr>
        <w:pStyle w:val="Compact"/>
        <w:numPr>
          <w:ilvl w:val="0"/>
          <w:numId w:val="1003"/>
        </w:numPr>
      </w:pPr>
      <w:r>
        <w:rPr>
          <w:b/>
          <w:bCs/>
        </w:rPr>
        <w:t xml:space="preserve">Status lahan dan tata ruang belum tuntas.</w:t>
      </w:r>
      <w:r>
        <w:t xml:space="preserve"> </w:t>
      </w:r>
      <w:r>
        <w:t xml:space="preserve">Risiko ini paling mahal bila baru muncul setelah kontrak berjalan.</w:t>
      </w:r>
    </w:p>
    <w:p>
      <w:pPr>
        <w:pStyle w:val="FirstParagraph"/>
      </w:pPr>
      <w:r>
        <w:t xml:space="preserve">Prinsip</w:t>
      </w:r>
      <w:r>
        <w:t xml:space="preserve"> </w:t>
      </w:r>
      <w:r>
        <w:rPr>
          <w:i/>
          <w:iCs/>
        </w:rPr>
        <w:t xml:space="preserve">Value for Money</w:t>
      </w:r>
      <w:r>
        <w:t xml:space="preserve"> </w:t>
      </w:r>
      <w:r>
        <w:t xml:space="preserve">mengukur apakah KPBU lebih unggul daripada pengadaan konvensional sepanjang siklus konstruksi dan operasi, lewat tiga dimensi: ekonomi, efisiensi, dan efektivitas. Uji ini dilakukan pada tahap Penyiapan, dan hasilnya boleh saja negatif. Dalam</w:t>
      </w:r>
      <w:r>
        <w:t xml:space="preserve"> </w:t>
      </w:r>
      <w:hyperlink r:id="rId26">
        <w:r>
          <w:rPr>
            <w:rStyle w:val="Hyperlink"/>
          </w:rPr>
          <w:t xml:space="preserve">praktik public private partnership</w:t>
        </w:r>
      </w:hyperlink>
      <w:r>
        <w:t xml:space="preserve"> </w:t>
      </w:r>
      <w:r>
        <w:t xml:space="preserve">internasional, kesiapan proyek adalah syarat masuk, bukan sesuatu yang dikejar sambil jalan.</w:t>
      </w:r>
    </w:p>
    <w:p>
      <w:pPr>
        <w:pStyle w:val="BodyText"/>
      </w:pPr>
      <w:r>
        <w:t xml:space="preserve">Satu kalimat yang perlu dipegang: pembiayaan kreatif memperluas pilihan sumber dana, tetapi tidak menciptakan kelayakan yang tidak ada.</w:t>
      </w:r>
    </w:p>
    <w:bookmarkEnd w:id="27"/>
    <w:bookmarkStart w:id="34" w:name="faq-pertanyaan-yang-sering-diajukan"/>
    <w:p>
      <w:pPr>
        <w:pStyle w:val="Heading2"/>
      </w:pPr>
      <w:r>
        <w:t xml:space="preserve">FAQ (Pertanyaan yang Sering Diajukan)</w:t>
      </w:r>
    </w:p>
    <w:bookmarkStart w:id="28" w:name="X9dae24c089c4b6c9522594aaff0d729589eacab"/>
    <w:p>
      <w:pPr>
        <w:pStyle w:val="Heading3"/>
      </w:pPr>
      <w:r>
        <w:t xml:space="preserve">Apa syarat proyek daerah bisa masuk skema KPBU?</w:t>
      </w:r>
    </w:p>
    <w:p>
      <w:pPr>
        <w:pStyle w:val="FirstParagraph"/>
      </w:pPr>
      <w:r>
        <w:t xml:space="preserve">Proyek harus melewati tahap Perencanaan dengan Studi Pendahuluan yang membuktikan empat unsur: analisis kebutuhan, kriteria kepatuhan,</w:t>
      </w:r>
      <w:r>
        <w:t xml:space="preserve"> </w:t>
      </w:r>
      <w:r>
        <w:rPr>
          <w:i/>
          <w:iCs/>
        </w:rPr>
        <w:t xml:space="preserve">Value for Money</w:t>
      </w:r>
      <w:r>
        <w:t xml:space="preserve"> </w:t>
      </w:r>
      <w:r>
        <w:t xml:space="preserve">dibanding pengadaan konvensional, serta potensi pendapatan dan skema pembiayaan (Kantor Bersama KPBU Kemenkeu, diakses Agustus 2026). Tanpa VfM yang meyakinkan, pengadaan biasa justru pilihan yang lebih tepat.</w:t>
      </w:r>
    </w:p>
    <w:bookmarkEnd w:id="28"/>
    <w:bookmarkStart w:id="29" w:name="X7076e47a3d15c136adf50b1dae175e3379614ff"/>
    <w:p>
      <w:pPr>
        <w:pStyle w:val="Heading3"/>
      </w:pPr>
      <w:r>
        <w:t xml:space="preserve">Bagaimana pemerintah daerah memulai proyek pembiayaan kreatif?</w:t>
      </w:r>
    </w:p>
    <w:p>
      <w:pPr>
        <w:pStyle w:val="FirstParagraph"/>
      </w:pPr>
      <w:r>
        <w:t xml:space="preserve">Mulai dari dokumen perencanaan, bukan dari memilih instrumen. Proyek dicantumkan dalam RPJMD (</w:t>
      </w:r>
      <w:r>
        <w:rPr>
          <w:i/>
          <w:iCs/>
        </w:rPr>
        <w:t xml:space="preserve">Rencana Pembangunan Jangka Menengah Daerah</w:t>
      </w:r>
      <w:r>
        <w:t xml:space="preserve">) dan RKPD (</w:t>
      </w:r>
      <w:r>
        <w:rPr>
          <w:i/>
          <w:iCs/>
        </w:rPr>
        <w:t xml:space="preserve">Rencana Kerja Pemerintah Daerah</w:t>
      </w:r>
      <w:r>
        <w:t xml:space="preserve">), disusun Studi Pendahuluannya, lalu diperdalam menjadi prastudi kelayakan pada tahap Penyiapan. Setelah kelayakan dan PJPK jelas, barulah daerah memilih instrumen dan mengidentifikasi kebutuhan dukungan pemerintah.</w:t>
      </w:r>
    </w:p>
    <w:bookmarkEnd w:id="29"/>
    <w:bookmarkStart w:id="30" w:name="X696dfc71242ee7475534e7b680527af802f816d"/>
    <w:p>
      <w:pPr>
        <w:pStyle w:val="Heading3"/>
      </w:pPr>
      <w:r>
        <w:t xml:space="preserve">Apa peran DPRD dalam proyek pembiayaan kreatif daerah?</w:t>
      </w:r>
    </w:p>
    <w:p>
      <w:pPr>
        <w:pStyle w:val="FirstParagraph"/>
      </w:pPr>
      <w:r>
        <w:t xml:space="preserve">DPRD berperan sebagai penyeimbang fiskal, terutama ketika proyek memakai skema Availability Payment. Karena AP mengikat APBD lintas tahun anggaran dan lazim melewati satu periode jabatan kepala daerah, komitmen itu dibahas bersama DPRD lewat KUA-PPAS sebagai bagian dari pengelolaan keuangan daerah (PP No. 12 Tahun 2019 dan Permendagri No. 77 Tahun 2020), bukan lewat keputusan eksekutif semata.</w:t>
      </w:r>
    </w:p>
    <w:bookmarkEnd w:id="30"/>
    <w:bookmarkStart w:id="31" w:name="Xb05489583b9429653171cef6c8274de2ace6f18"/>
    <w:p>
      <w:pPr>
        <w:pStyle w:val="Heading3"/>
      </w:pPr>
      <w:r>
        <w:t xml:space="preserve">Apa itu Availability Payment dan kapan pemda mulai membayarnya?</w:t>
      </w:r>
    </w:p>
    <w:p>
      <w:pPr>
        <w:pStyle w:val="FirstParagraph"/>
      </w:pPr>
      <w:r>
        <w:t xml:space="preserve">Availability Payment adalah pembayaran berkala pemda atas ketersediaan layanan sesuai standar dalam perjanjian, bukan cicilan konstruksi. Pembayaran tidak dilakukan selama masa konstruksi dan baru mulai setelah infrastruktur beroperasi, dengan payung anggaran tahun pertama disiapkan lebih dulu. Dasar hukumnya Permendagri No. 96 Tahun 2016.</w:t>
      </w:r>
    </w:p>
    <w:bookmarkEnd w:id="31"/>
    <w:bookmarkStart w:id="32" w:name="X01a70b4a9f0552bbeb39d767ca8e15eb1657aa6"/>
    <w:p>
      <w:pPr>
        <w:pStyle w:val="Heading3"/>
      </w:pPr>
      <w:r>
        <w:t xml:space="preserve">Apakah proyek kecil di kabupaten bisa memakai skema KPBU?</w:t>
      </w:r>
    </w:p>
    <w:p>
      <w:pPr>
        <w:pStyle w:val="FirstParagraph"/>
      </w:pPr>
      <w:r>
        <w:t xml:space="preserve">Secara hukum bisa, tetapi biaya kajian, lelang, dan pendampingan membuat skema ini kurang efisien pada proyek yang sangat kecil. Itulah sebabnya uji</w:t>
      </w:r>
      <w:r>
        <w:t xml:space="preserve"> </w:t>
      </w:r>
      <w:r>
        <w:rPr>
          <w:i/>
          <w:iCs/>
        </w:rPr>
        <w:t xml:space="preserve">Value for Money</w:t>
      </w:r>
      <w:r>
        <w:t xml:space="preserve"> </w:t>
      </w:r>
      <w:r>
        <w:t xml:space="preserve">wajib dilakukan. Sebagai pembanding skala, proyek KPBU penerangan jalan Kabupaten Madiun bernilai sekitar Rp 100 miliar (portal KPBU Kemenkeu, diakses Agustus 2026).</w:t>
      </w:r>
    </w:p>
    <w:bookmarkEnd w:id="32"/>
    <w:bookmarkStart w:id="33" w:name="X5728e33a61f28a47f8004875b495ee8a430a26e"/>
    <w:p>
      <w:pPr>
        <w:pStyle w:val="Heading3"/>
      </w:pPr>
      <w:r>
        <w:t xml:space="preserve">Apakah pembiayaan kreatif menjamin proyek pasti didanai?</w:t>
      </w:r>
    </w:p>
    <w:p>
      <w:pPr>
        <w:pStyle w:val="FirstParagraph"/>
      </w:pPr>
      <w:r>
        <w:t xml:space="preserve">Tidak. Pembiayaan kreatif memperluas pilihan sumber dana di luar APBD murni, tetapi tidak menciptakan kelayakan ekonomi atau finansial yang tidak ada. DJPK Kementerian Keuangan menegaskan pada Mei 2026 bahwa hambatan utamanya adalah kesiapan kapasitas pemda. Proyek tanpa dokumen dan kelembagaan yang jelas tetap berisiko gagal.</w:t>
      </w:r>
    </w:p>
    <w:bookmarkEnd w:id="33"/>
    <w:bookmarkEnd w:id="34"/>
    <w:bookmarkStart w:id="35" w:name="kesimpulan"/>
    <w:p>
      <w:pPr>
        <w:pStyle w:val="Heading2"/>
      </w:pPr>
      <w:r>
        <w:t xml:space="preserve">Kesimpulan</w:t>
      </w:r>
    </w:p>
    <w:p>
      <w:pPr>
        <w:pStyle w:val="FirstParagraph"/>
      </w:pPr>
      <w:r>
        <w:t xml:space="preserve">Delapan langkah di atas tidak menjamin proyek Anda mendapat pendanaan, dan memang tidak ada yang bisa menjaminnya. Fungsinya lebih sederhana: memindahkan proyek dari status gagasan ke status yang bisa dinilai investor,</w:t>
      </w:r>
      <w:r>
        <w:t xml:space="preserve"> </w:t>
      </w:r>
      <w:r>
        <w:rPr>
          <w:i/>
          <w:iCs/>
        </w:rPr>
        <w:t xml:space="preserve">lender</w:t>
      </w:r>
      <w:r>
        <w:t xml:space="preserve">, dan pemberi dukungan pemerintah.</w:t>
      </w:r>
    </w:p>
    <w:p>
      <w:pPr>
        <w:pStyle w:val="BodyText"/>
      </w:pPr>
      <w:r>
        <w:t xml:space="preserve">Peran PT PII di sini bukan menyediakan dana. Sebagai Badan Usaha Penjaminan Infrastruktur di bawah Kementerian Keuangan, ia menerbitkan penjaminan pemerintah dan mendampingi penyiapan serta strukturisasi transaksi, sehingga proyek yang layak punya peluang lebih besar sampai ke</w:t>
      </w:r>
      <w:r>
        <w:t xml:space="preserve"> </w:t>
      </w:r>
      <w:r>
        <w:rPr>
          <w:i/>
          <w:iCs/>
        </w:rPr>
        <w:t xml:space="preserve">financial close</w:t>
      </w:r>
      <w:r>
        <w:t xml:space="preserve">. Bagi pemda yang sedang menakar kematangan proyeknya, diskusi di tahap Penyiapan jauh lebih murah daripada revisi setelah lelang.</w:t>
      </w:r>
    </w:p>
    <w:p>
      <w:pPr>
        <w:pStyle w:val="BodyText"/>
      </w:pPr>
      <w:r>
        <w:t xml:space="preserve">Rincian skema Pembiayaan Kreatif dan bentuk dukungan penjaminan untuk proyek daerah dapat ditelusuri di ptpii.co.id.</w:t>
      </w:r>
    </w:p>
    <w:bookmarkEnd w:id="35"/>
    <w:bookmarkEnd w:id="36"/>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18" Target="https://djpk.kemenkeu.go.id/?p=76326" TargetMode="External" /><Relationship Type="http://schemas.openxmlformats.org/officeDocument/2006/relationships/hyperlink" Id="rId23" Target="https://kpbu.kemenkeu.go.id/read/1094-1255/pjpk/dukungan-pemerintah/fasilitas-penyiapan-proyek" TargetMode="External" /><Relationship Type="http://schemas.openxmlformats.org/officeDocument/2006/relationships/hyperlink" Id="rId21" Target="https://kpbu.kemenkeu.go.id/read/16-13/pjpk/persyaratan-proyek" TargetMode="External" /><Relationship Type="http://schemas.openxmlformats.org/officeDocument/2006/relationships/hyperlink" Id="rId20" Target="https://www.ptpii.co.id/kpbu" TargetMode="External" /><Relationship Type="http://schemas.openxmlformats.org/officeDocument/2006/relationships/hyperlink" Id="rId17" Target="https://www.ptpii.co.id/pembiayaan-kreatif" TargetMode="External" /><Relationship Type="http://schemas.openxmlformats.org/officeDocument/2006/relationships/hyperlink" Id="rId26" Target="https://www.ptpii.co.id/public-private-partnership" TargetMode="External" /></Relationships>
</file>

<file path=word/_rels/footnotes.xml.rels><?xml version="1.0" encoding="UTF-8"?><Relationships xmlns="http://schemas.openxmlformats.org/package/2006/relationships"><Relationship Type="http://schemas.openxmlformats.org/officeDocument/2006/relationships/hyperlink" Id="rId18" Target="https://djpk.kemenkeu.go.id/?p=76326" TargetMode="External" /><Relationship Type="http://schemas.openxmlformats.org/officeDocument/2006/relationships/hyperlink" Id="rId23" Target="https://kpbu.kemenkeu.go.id/read/1094-1255/pjpk/dukungan-pemerintah/fasilitas-penyiapan-proyek" TargetMode="External" /><Relationship Type="http://schemas.openxmlformats.org/officeDocument/2006/relationships/hyperlink" Id="rId21" Target="https://kpbu.kemenkeu.go.id/read/16-13/pjpk/persyaratan-proyek" TargetMode="External" /><Relationship Type="http://schemas.openxmlformats.org/officeDocument/2006/relationships/hyperlink" Id="rId20" Target="https://www.ptpii.co.id/kpbu" TargetMode="External" /><Relationship Type="http://schemas.openxmlformats.org/officeDocument/2006/relationships/hyperlink" Id="rId17" Target="https://www.ptpii.co.id/pembiayaan-kreatif" TargetMode="External" /><Relationship Type="http://schemas.openxmlformats.org/officeDocument/2006/relationships/hyperlink" Id="rId26" Target="https://www.ptpii.co.id/public-private-partnershi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2026-08-12T09:08:33Z</dcterms:created>
  <dcterms:modified xsi:type="dcterms:W3CDTF">2026-08-12T09:08:33Z</dcterms:modified>
</cp:coreProperties>
</file>

<file path=docProps/custom.xml><?xml version="1.0" encoding="utf-8"?>
<Properties xmlns="http://schemas.openxmlformats.org/officeDocument/2006/custom-properties" xmlns:vt="http://schemas.openxmlformats.org/officeDocument/2006/docPropsVTypes"/>
</file>