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Kreatif Mandek: 7 Penyebab Proyek Daerah Berhenti Sebelum Lelang"</w:t>
      </w:r>
      <w:r>
        <w:br/>
      </w:r>
      <w:r>
        <w:rPr>
          <w:rStyle w:val="FunctionTok"/>
        </w:rPr>
        <w:t xml:space="preserve">meta_title</w:t>
      </w:r>
      <w:r>
        <w:rPr>
          <w:rStyle w:val="KeywordTok"/>
        </w:rPr>
        <w:t xml:space="preserve">:</w:t>
      </w:r>
      <w:r>
        <w:rPr>
          <w:rStyle w:val="AttributeTok"/>
        </w:rPr>
        <w:t xml:space="preserve"> </w:t>
      </w:r>
      <w:r>
        <w:rPr>
          <w:rStyle w:val="StringTok"/>
        </w:rPr>
        <w:t xml:space="preserve">"Pembiayaan Kreatif Mandek: 7 Penyebab di Tingkat Daerah"</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kreatif proyek infrastruktur daerah sering mandek sebelum lelang. Kenali 7 penyebabnya lewat tabel gejala, penyebab, dan tindakan korektif."</w:t>
      </w:r>
      <w:r>
        <w:br/>
      </w:r>
      <w:r>
        <w:rPr>
          <w:rStyle w:val="FunctionTok"/>
        </w:rPr>
        <w:t xml:space="preserve">slug</w:t>
      </w:r>
      <w:r>
        <w:rPr>
          <w:rStyle w:val="KeywordTok"/>
        </w:rPr>
        <w:t xml:space="preserve">:</w:t>
      </w:r>
      <w:r>
        <w:rPr>
          <w:rStyle w:val="AttributeTok"/>
        </w:rPr>
        <w:t xml:space="preserve"> </w:t>
      </w:r>
      <w:r>
        <w:rPr>
          <w:rStyle w:val="StringTok"/>
        </w:rPr>
        <w:t xml:space="preserve">"pembiayaan-kreatif-mandek-penyebab-proyek-daerah"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Kreatif"</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"proyek KPBU daerah gagal"</w:t>
      </w:r>
      <w:r>
        <w:br/>
      </w:r>
      <w:r>
        <w:rPr>
          <w:rStyle w:val="AttributeTok"/>
        </w:rPr>
        <w:t xml:space="preserve">  </w:t>
      </w:r>
      <w:r>
        <w:rPr>
          <w:rStyle w:val="KeywordTok"/>
        </w:rPr>
        <w:t xml:space="preserve">-</w:t>
      </w:r>
      <w:r>
        <w:rPr>
          <w:rStyle w:val="AttributeTok"/>
        </w:rPr>
        <w:t xml:space="preserve"> </w:t>
      </w:r>
      <w:r>
        <w:rPr>
          <w:rStyle w:val="StringTok"/>
        </w:rPr>
        <w:t xml:space="preserve">"proyek mandek tahap penyiapan"</w:t>
      </w:r>
      <w:r>
        <w:br/>
      </w:r>
      <w:r>
        <w:rPr>
          <w:rStyle w:val="AttributeTok"/>
        </w:rPr>
        <w:t xml:space="preserve">  </w:t>
      </w:r>
      <w:r>
        <w:rPr>
          <w:rStyle w:val="KeywordTok"/>
        </w:rPr>
        <w:t xml:space="preserve">-</w:t>
      </w:r>
      <w:r>
        <w:rPr>
          <w:rStyle w:val="AttributeTok"/>
        </w:rPr>
        <w:t xml:space="preserve"> </w:t>
      </w:r>
      <w:r>
        <w:rPr>
          <w:rStyle w:val="StringTok"/>
        </w:rPr>
        <w:t xml:space="preserve">"alokasi risiko proyek KPBU"</w:t>
      </w:r>
      <w:r>
        <w:br/>
      </w:r>
      <w:r>
        <w:rPr>
          <w:rStyle w:val="AttributeTok"/>
        </w:rPr>
        <w:t xml:space="preserve">  </w:t>
      </w:r>
      <w:r>
        <w:rPr>
          <w:rStyle w:val="KeywordTok"/>
        </w:rPr>
        <w:t xml:space="preserve">-</w:t>
      </w:r>
      <w:r>
        <w:rPr>
          <w:rStyle w:val="AttributeTok"/>
        </w:rPr>
        <w:t xml:space="preserve"> </w:t>
      </w:r>
      <w:r>
        <w:rPr>
          <w:rStyle w:val="StringTok"/>
        </w:rPr>
        <w:t xml:space="preserve">"layak ekonomi tetapi belum layak finansial"</w:t>
      </w:r>
      <w:r>
        <w:br/>
      </w:r>
      <w:r>
        <w:rPr>
          <w:rStyle w:val="AttributeTok"/>
        </w:rPr>
        <w:t xml:space="preserve">  </w:t>
      </w:r>
      <w:r>
        <w:rPr>
          <w:rStyle w:val="KeywordTok"/>
        </w:rPr>
        <w:t xml:space="preserve">-</w:t>
      </w:r>
      <w:r>
        <w:rPr>
          <w:rStyle w:val="AttributeTok"/>
        </w:rPr>
        <w:t xml:space="preserve"> </w:t>
      </w:r>
      <w:r>
        <w:rPr>
          <w:rStyle w:val="StringTok"/>
        </w:rPr>
        <w:t xml:space="preserve">"biaya transaksi proyek kecil"</w:t>
      </w:r>
      <w:r>
        <w:br/>
      </w:r>
      <w:r>
        <w:rPr>
          <w:rStyle w:val="AttributeTok"/>
        </w:rPr>
        <w:t xml:space="preserve">  </w:t>
      </w:r>
      <w:r>
        <w:rPr>
          <w:rStyle w:val="KeywordTok"/>
        </w:rPr>
        <w:t xml:space="preserve">-</w:t>
      </w:r>
      <w:r>
        <w:rPr>
          <w:rStyle w:val="AttributeTok"/>
        </w:rPr>
        <w:t xml:space="preserve"> </w:t>
      </w:r>
      <w:r>
        <w:rPr>
          <w:rStyle w:val="StringTok"/>
        </w:rPr>
        <w:t xml:space="preserve">"obligasi daerah belum terbit"</w:t>
      </w:r>
      <w:r>
        <w:br/>
      </w:r>
      <w:r>
        <w:rPr>
          <w:rStyle w:val="AttributeTok"/>
        </w:rPr>
        <w:t xml:space="preserve">  </w:t>
      </w:r>
      <w:r>
        <w:rPr>
          <w:rStyle w:val="KeywordTok"/>
        </w:rPr>
        <w:t xml:space="preserve">-</w:t>
      </w:r>
      <w:r>
        <w:rPr>
          <w:rStyle w:val="AttributeTok"/>
        </w:rPr>
        <w:t xml:space="preserve"> </w:t>
      </w:r>
      <w:r>
        <w:rPr>
          <w:rStyle w:val="StringTok"/>
        </w:rPr>
        <w:t xml:space="preserve">"kapasitas teknis pemerintah daerah"</w:t>
      </w:r>
      <w:r>
        <w:br/>
      </w:r>
      <w:r>
        <w:rPr>
          <w:rStyle w:val="AttributeTok"/>
        </w:rPr>
        <w:t xml:space="preserve">  </w:t>
      </w:r>
      <w:r>
        <w:rPr>
          <w:rStyle w:val="KeywordTok"/>
        </w:rPr>
        <w:t xml:space="preserve">-</w:t>
      </w:r>
      <w:r>
        <w:rPr>
          <w:rStyle w:val="AttributeTok"/>
        </w:rPr>
        <w:t xml:space="preserve"> </w:t>
      </w:r>
      <w:r>
        <w:rPr>
          <w:rStyle w:val="StringTok"/>
        </w:rPr>
        <w:t xml:space="preserve">"pergantian PJPK"</w:t>
      </w:r>
      <w:r>
        <w:br/>
      </w:r>
      <w:r>
        <w:rPr>
          <w:rStyle w:val="AttributeTok"/>
        </w:rPr>
        <w:t xml:space="preserve">  </w:t>
      </w:r>
      <w:r>
        <w:rPr>
          <w:rStyle w:val="KeywordTok"/>
        </w:rPr>
        <w:t xml:space="preserve">-</w:t>
      </w:r>
      <w:r>
        <w:rPr>
          <w:rStyle w:val="AttributeTok"/>
        </w:rPr>
        <w:t xml:space="preserve"> </w:t>
      </w:r>
      <w:r>
        <w:rPr>
          <w:rStyle w:val="StringTok"/>
        </w:rPr>
        <w:t xml:space="preserve">"Dukungan Kelayakan (VGF)"</w:t>
      </w:r>
      <w:r>
        <w:br/>
      </w:r>
      <w:r>
        <w:rPr>
          <w:rStyle w:val="AttributeTok"/>
        </w:rPr>
        <w:t xml:space="preserve">  </w:t>
      </w:r>
      <w:r>
        <w:rPr>
          <w:rStyle w:val="KeywordTok"/>
        </w:rPr>
        <w:t xml:space="preserve">-</w:t>
      </w:r>
      <w:r>
        <w:rPr>
          <w:rStyle w:val="AttributeTok"/>
        </w:rPr>
        <w:t xml:space="preserve"> </w:t>
      </w:r>
      <w:r>
        <w:rPr>
          <w:rStyle w:val="StringTok"/>
        </w:rPr>
        <w:t xml:space="preserve">"market sounding"</w:t>
      </w:r>
      <w:r>
        <w:br/>
      </w:r>
      <w:r>
        <w:rPr>
          <w:rStyle w:val="AttributeTok"/>
        </w:rPr>
        <w:t xml:space="preserve">  </w:t>
      </w:r>
      <w:r>
        <w:rPr>
          <w:rStyle w:val="KeywordTok"/>
        </w:rPr>
        <w:t xml:space="preserve">-</w:t>
      </w:r>
      <w:r>
        <w:rPr>
          <w:rStyle w:val="AttributeTok"/>
        </w:rPr>
        <w:t xml:space="preserve"> </w:t>
      </w:r>
      <w:r>
        <w:rPr>
          <w:rStyle w:val="StringTok"/>
        </w:rPr>
        <w:t xml:space="preserve">"prastudi kelayakan"</w:t>
      </w:r>
      <w:r>
        <w:br/>
      </w:r>
      <w:r>
        <w:rPr>
          <w:rStyle w:val="AttributeTok"/>
        </w:rPr>
        <w:t xml:space="preserve">  </w:t>
      </w:r>
      <w:r>
        <w:rPr>
          <w:rStyle w:val="KeywordTok"/>
        </w:rPr>
        <w:t xml:space="preserve">-</w:t>
      </w:r>
      <w:r>
        <w:rPr>
          <w:rStyle w:val="AttributeTok"/>
        </w:rPr>
        <w:t xml:space="preserve"> </w:t>
      </w:r>
      <w:r>
        <w:rPr>
          <w:rStyle w:val="StringTok"/>
        </w:rPr>
        <w:t xml:space="preserve">"keterbatasan APBD"</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pembiayaan kreatif untuk infrastruktur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"alokasi risiko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"Pengalaman 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"https://djpk.kemenkeu.go.id/?p=76326"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"DJPK Kementerian Keuangan, 26 Mei 2026 — hambatan utama pembiayaan kreatif daerah adalah komitmen kepala daerah dan kesiapan teknis pemda, bukan ketersediaan instrumen"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"https://www.antaranews.com/berita/4872861/ojk-sebut-belum-ada-pemerintah-daerah-yang-ajukan-izin-obligasi-daerah"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"OJK via ANTARA, 2 Juni 2025 — belum ada pemda yang mengajukan pernyataan pendaftaran penerbitan obligasi atau sukuk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"https://pppmonitor.adb.org/country/indonesia/national-ppp-landscape"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"ADB PPP Monitor — 135 proyek PPP Indonesia mencapai financial close sepanjang 1990–2019 (data historis, bukan potret 2026)"</w:t>
      </w:r>
      <w:r>
        <w:br/>
      </w:r>
      <w:r>
        <w:rPr>
          <w:rStyle w:val="FunctionTok"/>
        </w:rPr>
        <w:t xml:space="preserve">brief_id</w:t>
      </w:r>
      <w:r>
        <w:rPr>
          <w:rStyle w:val="KeywordTok"/>
        </w:rPr>
        <w:t xml:space="preserve">:</w:t>
      </w:r>
      <w:r>
        <w:rPr>
          <w:rStyle w:val="AttributeTok"/>
        </w:rPr>
        <w:t xml:space="preserve"> </w:t>
      </w:r>
      <w:r>
        <w:rPr>
          <w:rStyle w:val="StringTok"/>
        </w:rPr>
        <w:t xml:space="preserve">"pembiayaan-kreatif-03"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1780</w:t>
      </w:r>
    </w:p>
    <w:p>
      <w:r>
        <w:pict>
          <v:rect style="width:0;height:1.5pt" o:hralign="center" o:hrstd="t" o:hr="t"/>
        </w:pict>
      </w:r>
    </w:p>
    <w:bookmarkEnd w:id="16"/>
    <w:bookmarkStart w:id="35" w:name="X86c9c6b019e94689525a0731e883fc6acd7c603"/>
    <w:p>
      <w:pPr>
        <w:pStyle w:val="Heading1"/>
      </w:pPr>
      <w:r>
        <w:t xml:space="preserve">Pembiayaan Kreatif Mandek: 7 Penyebab Proyek Daerah Berhenti Sebelum Lelang</w:t>
      </w:r>
    </w:p>
    <w:p>
      <w:pPr>
        <w:pStyle w:val="FirstParagraph"/>
      </w:pPr>
      <w:r>
        <w:t xml:space="preserve">Pola ini berulang di banyak daerah. Sebuah proyek infrastruktur diumumkan: sistem penerangan jalan, pasar induk, atau instalasi pengolahan air. Ia masuk dokumen perencanaan, dinyatakan tidak sanggup dibiayai APBD murni, lalu diarahkan ke skema KPBU atau instrumen lain. Setelah itu berhenti. Tidak dibatalkan secara resmi, hanya diam, biasanya di antara studi pendahuluan dan lelang. Artikel ini membedah tujuh penyebab proyek pembiayaan kreatif di tingkat daerah mandek sebelum lelang, lengkap dengan tabel gejala, penyebab, dan tindakan korektif. Titik berangkatnya bukan pengenalan</w:t>
      </w:r>
      <w:r>
        <w:t xml:space="preserve"> </w:t>
      </w:r>
      <w:hyperlink r:id="rId17">
        <w:r>
          <w:rPr>
            <w:rStyle w:val="Hyperlink"/>
          </w:rPr>
          <w:t xml:space="preserve">skema pembiayaan kreatif untuk infrastruktur daerah</w:t>
        </w:r>
      </w:hyperlink>
      <w:r>
        <w:t xml:space="preserve">, melainkan proyek yang sudah ada di atas kertas dan berhenti bergerak.</w:t>
      </w:r>
    </w:p>
    <w:p>
      <w:pPr>
        <w:pStyle w:val="BlockText"/>
      </w:pPr>
      <w:r>
        <w:rPr>
          <w:b/>
          <w:bCs/>
        </w:rPr>
        <w:t xml:space="preserve">Ringkasnya:</w:t>
      </w:r>
      <w:r>
        <w:t xml:space="preserve"> </w:t>
      </w:r>
      <w:r>
        <w:t xml:space="preserve">Dalam konteks infrastruktur daerah, proyek pembiayaan kreatif paling sering berhenti sebelum lelang karena tiga pola: proyek belum layak secara finansial sehingga Dukungan Kelayakan tidak diajukan, dokumen penyiapan terlalu lemah untuk menarik minat badan usaha, atau instrumen yang dipilih (misalnya obligasi daerah) belum didukung kesiapan kelembagaan pemda.</w:t>
      </w:r>
    </w:p>
    <w:bookmarkStart w:id="19" w:name="X4525a79d5e13b2c54e09777ba75eea69a417a2e"/>
    <w:p>
      <w:pPr>
        <w:pStyle w:val="Heading2"/>
      </w:pPr>
      <w:r>
        <w:t xml:space="preserve">Mengapa proyek pembiayaan kreatif di daerah sering berhenti sebelum lelang?</w:t>
      </w:r>
    </w:p>
    <w:p>
      <w:pPr>
        <w:pStyle w:val="FirstParagraph"/>
      </w:pPr>
      <w:r>
        <w:t xml:space="preserve">Karena hambatannya ada pada kesiapan, bukan pada ketersediaan dana. Direktorat Jenderal Perimbangan Keuangan (DJPK) Kementerian Keuangan</w:t>
      </w:r>
      <w:r>
        <w:t xml:space="preserve"> </w:t>
      </w:r>
      <w:hyperlink r:id="rId18">
        <w:r>
          <w:rPr>
            <w:rStyle w:val="Hyperlink"/>
          </w:rPr>
          <w:t xml:space="preserve">menyatakan pada 26 Mei 2026</w:t>
        </w:r>
      </w:hyperlink>
      <w:r>
        <w:t xml:space="preserve"> </w:t>
      </w:r>
      <w:r>
        <w:t xml:space="preserve">bahwa tantangan utama pembiayaan kreatif daerah bukan terletak pada ketersediaan instrumen, melainkan pada komitmen kepala daerah dan kesiapan teknis pemda. Instrumennya tersedia; yang belum siap umumnya proyek dan dokumennya.</w:t>
      </w:r>
    </w:p>
    <w:p>
      <w:pPr>
        <w:pStyle w:val="BodyText"/>
      </w:pPr>
      <w:r>
        <w:t xml:space="preserve">Pembiayaan kreatif sendiri adalah pendekatan pendanaan infrastruktur daerah yang memadukan APBD dengan sumber di luar APBD murni: KPBU (</w:t>
      </w:r>
      <w:r>
        <w:rPr>
          <w:i/>
          <w:iCs/>
        </w:rPr>
        <w:t xml:space="preserve">Kerja Sama Pemerintah dengan Badan Usaha</w:t>
      </w:r>
      <w:r>
        <w:t xml:space="preserve">), pinjaman daerah, serta obligasi dan sukuk daerah. Payungnya ada pada UU No. 1 Tahun 2022 tentang Hubungan Keuangan antara Pemerintah Pusat dan Pemerintahan Daerah (HKPD), yang masih berlaku per verifikasi 2026.</w:t>
      </w:r>
    </w:p>
    <w:p>
      <w:pPr>
        <w:pStyle w:val="BodyText"/>
      </w:pPr>
      <w:r>
        <w:t xml:space="preserve">Satu pembedaan mengatur seluruh pembahasan ini. Proyek macet jatuh ke salah satu dari dua kategori: proyek yang memang tidak layak, dan proyek layak yang salah disiapkan. Gejalanya nyaris sama dari luar. Obatnya berlawanan: yang pertama harus dihentikan, yang kedua bisa diselamatkan asal penyebabnya dikenali sebelum instrumennya diganti.</w:t>
      </w:r>
    </w:p>
    <w:p>
      <w:pPr>
        <w:pStyle w:val="BodyText"/>
      </w:pPr>
      <w:r>
        <w:t xml:space="preserve">DJPK dalam publikasi yang sama juga menyinggung kehati-hatian berlebihan dalam memitigasi risiko, sikap yang rasional bagi pejabat yang tanda tangannya akan diperiksa bertahun-tahun kemudian, dan baru menjadi masalah ketika ia menggantikan analisis.</w:t>
      </w:r>
    </w:p>
    <w:bookmarkEnd w:id="19"/>
    <w:bookmarkStart w:id="22" w:name="Xe21e9904eeefd14f913e7325f89414aa8c98fb7"/>
    <w:p>
      <w:pPr>
        <w:pStyle w:val="Heading2"/>
      </w:pPr>
      <w:r>
        <w:t xml:space="preserve">Tujuh penyebab proyek pembiayaan kreatif daerah mandek</w:t>
      </w:r>
    </w:p>
    <w:p>
      <w:pPr>
        <w:pStyle w:val="FirstParagraph"/>
      </w:pPr>
      <w:r>
        <w:t xml:space="preserve">Tujuh pola berulang: proyek layak ekonomi tetapi belum layak finansial tanpa Dukungan Kelayakan; alokasi risiko yang tidak realistis; nilai proyek terlalu kecil dibanding biaya transaksi; dokumen penyiapan yang lemah; pergantian PJPK di tengah proses; instrumen yang salah dipilih sejak perencanaan; dan instrumen yang dipilih tanpa perangkat kelembagaan pendukungnya.</w:t>
      </w:r>
    </w:p>
    <w:p>
      <w:pPr>
        <w:pStyle w:val="Compact"/>
        <w:numPr>
          <w:ilvl w:val="0"/>
          <w:numId w:val="1001"/>
        </w:numPr>
      </w:pPr>
      <w:r>
        <w:rPr>
          <w:b/>
          <w:bCs/>
        </w:rPr>
        <w:t xml:space="preserve">Layak ekonomi, belum layak finansial.</w:t>
      </w:r>
      <w:r>
        <w:t xml:space="preserve"> </w:t>
      </w:r>
      <w:r>
        <w:t xml:space="preserve">Manfaat sosialnya jelas, tetapi proyeksi arus kas tidak menutup investasi badan usaha. Dukungan Kelayakan atau</w:t>
      </w:r>
      <w:r>
        <w:t xml:space="preserve"> </w:t>
      </w:r>
      <w:r>
        <w:rPr>
          <w:i/>
          <w:iCs/>
        </w:rPr>
        <w:t xml:space="preserve">Viability Gap Fund</w:t>
      </w:r>
      <w:r>
        <w:t xml:space="preserve"> </w:t>
      </w:r>
      <w:r>
        <w:t xml:space="preserve">(VGF) tersedia lewat PMK No. 68 Tahun 2024, dan kerap tidak diajukan.</w:t>
      </w:r>
    </w:p>
    <w:p>
      <w:pPr>
        <w:pStyle w:val="Compact"/>
        <w:numPr>
          <w:ilvl w:val="0"/>
          <w:numId w:val="1001"/>
        </w:numPr>
      </w:pPr>
      <w:r>
        <w:rPr>
          <w:b/>
          <w:bCs/>
        </w:rPr>
        <w:t xml:space="preserve">Alokasi risiko yang tidak realistis.</w:t>
      </w:r>
      <w:r>
        <w:t xml:space="preserve"> </w:t>
      </w:r>
      <w:r>
        <w:t xml:space="preserve">Risiko yang seharusnya ditanggung pemerintah dilimpahkan ke badan usaha, atau sebaliknya pemda menahan risiko yang tak sanggup dikelola fiskalnya. Prinsip yang berlaku dalam praktik:</w:t>
      </w:r>
      <w:r>
        <w:t xml:space="preserve"> </w:t>
      </w:r>
      <w:hyperlink r:id="rId20">
        <w:r>
          <w:rPr>
            <w:rStyle w:val="Hyperlink"/>
          </w:rPr>
          <w:t xml:space="preserve">alokasi risiko proyek KPBU</w:t>
        </w:r>
      </w:hyperlink>
      <w:r>
        <w:t xml:space="preserve"> </w:t>
      </w:r>
      <w:r>
        <w:t xml:space="preserve">jatuh ke pihak yang paling mampu mengelolanya. PMK No. 68 Tahun 2024 mewajibkan Badan Usaha Penjaminan Infrastruktur menerbitkan Acuan Alokasi Risiko setiap tahun.</w:t>
      </w:r>
    </w:p>
    <w:p>
      <w:pPr>
        <w:pStyle w:val="Compact"/>
        <w:numPr>
          <w:ilvl w:val="0"/>
          <w:numId w:val="1001"/>
        </w:numPr>
      </w:pPr>
      <w:r>
        <w:rPr>
          <w:b/>
          <w:bCs/>
        </w:rPr>
        <w:t xml:space="preserve">Nilai proyek kecil, biaya transaksi tetap.</w:t>
      </w:r>
      <w:r>
        <w:t xml:space="preserve"> </w:t>
      </w:r>
      <w:r>
        <w:t xml:space="preserve">Biaya studi, konsultan, dan lelang tidak menyusut sebanding dengan nilai proyek. Dalam praktik KPBU, proyek kabupaten bernilai kecil menanggung beban penyiapan yang proporsional jauh lebih berat.</w:t>
      </w:r>
    </w:p>
    <w:p>
      <w:pPr>
        <w:pStyle w:val="Compact"/>
        <w:numPr>
          <w:ilvl w:val="0"/>
          <w:numId w:val="1001"/>
        </w:numPr>
      </w:pPr>
      <w:r>
        <w:rPr>
          <w:b/>
          <w:bCs/>
        </w:rPr>
        <w:t xml:space="preserve">Dokumen penyiapan lemah, dan pasar mengetahuinya.</w:t>
      </w:r>
      <w:r>
        <w:t xml:space="preserve"> </w:t>
      </w:r>
      <w:r>
        <w:t xml:space="preserve">Gejalanya terlihat saat</w:t>
      </w:r>
      <w:r>
        <w:t xml:space="preserve"> </w:t>
      </w:r>
      <w:r>
        <w:rPr>
          <w:i/>
          <w:iCs/>
        </w:rPr>
        <w:t xml:space="preserve">market sounding</w:t>
      </w:r>
      <w:r>
        <w:t xml:space="preserve">: peserta sedikit, pertanyaannya normatif. Isu yang paling cepat mematikan minat adalah status lahan yang belum tuntas menurut UU No. 2 Tahun 2012.</w:t>
      </w:r>
    </w:p>
    <w:p>
      <w:pPr>
        <w:pStyle w:val="Compact"/>
        <w:numPr>
          <w:ilvl w:val="0"/>
          <w:numId w:val="1001"/>
        </w:numPr>
      </w:pPr>
      <w:r>
        <w:rPr>
          <w:b/>
          <w:bCs/>
        </w:rPr>
        <w:t xml:space="preserve">PJPK berganti di tengah proses.</w:t>
      </w:r>
      <w:r>
        <w:t xml:space="preserve"> </w:t>
      </w:r>
      <w:r>
        <w:t xml:space="preserve">PJPK (</w:t>
      </w:r>
      <w:r>
        <w:rPr>
          <w:i/>
          <w:iCs/>
        </w:rPr>
        <w:t xml:space="preserve">Penanggung Jawab Proyek Kerja Sama</w:t>
      </w:r>
      <w:r>
        <w:t xml:space="preserve">) di daerah adalah kepala daerah, sementara kontrak KPBU umumnya berdurasi 15–30 tahun. Risiko ini paling tajam sebelum perjanjian kerja sama ditandatangani.</w:t>
      </w:r>
    </w:p>
    <w:p>
      <w:pPr>
        <w:pStyle w:val="Compact"/>
        <w:numPr>
          <w:ilvl w:val="0"/>
          <w:numId w:val="1001"/>
        </w:numPr>
      </w:pPr>
      <w:r>
        <w:rPr>
          <w:b/>
          <w:bCs/>
        </w:rPr>
        <w:t xml:space="preserve">Instrumen salah dipilih sejak perencanaan.</w:t>
      </w:r>
      <w:r>
        <w:t xml:space="preserve"> </w:t>
      </w:r>
      <w:r>
        <w:t xml:space="preserve">Kebutuhan sebenarnya rehabilitasi aset atau belanja modal biasa, bukan kerja sama jangka panjang. Kantor Bersama KPBU Kementerian Keuangan menyediakan Panduan</w:t>
      </w:r>
      <w:r>
        <w:t xml:space="preserve"> </w:t>
      </w:r>
      <w:r>
        <w:rPr>
          <w:i/>
          <w:iCs/>
        </w:rPr>
        <w:t xml:space="preserve">Value for Money</w:t>
      </w:r>
      <w:r>
        <w:t xml:space="preserve"> </w:t>
      </w:r>
      <w:r>
        <w:t xml:space="preserve">untuk menguji hal ini sebelum skema ditetapkan.</w:t>
      </w:r>
    </w:p>
    <w:p>
      <w:pPr>
        <w:pStyle w:val="Compact"/>
        <w:numPr>
          <w:ilvl w:val="0"/>
          <w:numId w:val="1001"/>
        </w:numPr>
      </w:pPr>
      <w:r>
        <w:rPr>
          <w:b/>
          <w:bCs/>
        </w:rPr>
        <w:t xml:space="preserve">Instrumen dipilih tanpa perangkat pendukungnya.</w:t>
      </w:r>
      <w:r>
        <w:t xml:space="preserve"> </w:t>
      </w:r>
      <w:r>
        <w:t xml:space="preserve">Contohnya obligasi daerah: payung hukumnya ada, tetapi kapasitas kelembagaan pengelolaan utang di tingkat pemda umumnya belum terbentuk.</w:t>
      </w:r>
    </w:p>
    <w:p>
      <w:pPr>
        <w:pStyle w:val="FirstParagraph"/>
      </w:pPr>
      <w:r>
        <w:t xml:space="preserve">Fakta di balik penyebab ketujuh perlu dibaca dengan tanggalnya. OJK</w:t>
      </w:r>
      <w:r>
        <w:t xml:space="preserve"> </w:t>
      </w:r>
      <w:hyperlink r:id="rId21">
        <w:r>
          <w:rPr>
            <w:rStyle w:val="Hyperlink"/>
          </w:rPr>
          <w:t xml:space="preserve">menyatakan pada 2 Juni 2025</w:t>
        </w:r>
      </w:hyperlink>
      <w:r>
        <w:t xml:space="preserve"> </w:t>
      </w:r>
      <w:r>
        <w:t xml:space="preserve">bahwa belum ada satu pun pemda yang mengajukan pernyataan pendaftaran obligasi atau sukuk daerah, dan hingga pertengahan 2026 posisi itu belum berubah. Pada 27 Juli 2026, DPRD DKI Jakarta menyetujui rencana penerbitan obligasi daerah Rp 3,5 triliun untuk 2027. Persetujuan itu belum berupa pendaftaran ke OJK, apalagi penerbitan.</w:t>
      </w:r>
    </w:p>
    <w:p>
      <w:pPr>
        <w:pStyle w:val="BodyText"/>
      </w:pPr>
      <w:r>
        <w:t xml:space="preserve">Penyebab kedua menyimpan satu salah kaprah.</w:t>
      </w:r>
    </w:p>
    <w:p>
      <w:pPr>
        <w:pStyle w:val="BodyText"/>
      </w:pPr>
      <w:r>
        <w:t xml:space="preserve">Penjaminan pemerintah bukan alat untuk memindahkan seluruh risiko. PT PII, selaku Badan Usaha Penjaminan Infrastruktur di bawah Kementerian Keuangan, menjamin risiko yang menjadi tanggung jawab pemerintah dalam kontrak KPBU, misalnya keterlambatan persetujuan atau terminasi akibat tindakan pemerintah. Risiko komersial badan usaha tetap di sisi badan usaha, dan penjaminan bukan subsidi.</w:t>
      </w:r>
    </w:p>
    <w:bookmarkEnd w:id="22"/>
    <w:bookmarkStart w:id="23" w:name="gejala-penyebab-dan-tindakan-korektif"/>
    <w:p>
      <w:pPr>
        <w:pStyle w:val="Heading2"/>
      </w:pPr>
      <w:r>
        <w:t xml:space="preserve">Gejala, penyebab, dan tindakan korektif</w:t>
      </w:r>
    </w:p>
    <w:p>
      <w:pPr>
        <w:pStyle w:val="FirstParagraph"/>
      </w:pPr>
      <w:r>
        <w:t xml:space="preserve">Tabel berikut memetakan tujuh penyebab tadi dari sisi yang paling mudah dikenali, yaitu gejalanya. Setiap baris memuat satu gejala yang terlihat dari luar, penyebab yang paling mungkin, langkah korektif, dan pihak yang perlu bergerak lebih dulu. Diagnosis dimulai dari kolom pertama.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Gejala</w:t>
            </w:r>
          </w:p>
        </w:tc>
        <w:tc>
          <w:tcPr/>
          <w:p>
            <w:pPr>
              <w:pStyle w:val="Compact"/>
            </w:pPr>
            <w:r>
              <w:t xml:space="preserve">Penyebab yang mungkin</w:t>
            </w:r>
          </w:p>
        </w:tc>
        <w:tc>
          <w:tcPr/>
          <w:p>
            <w:pPr>
              <w:pStyle w:val="Compact"/>
            </w:pPr>
            <w:r>
              <w:t xml:space="preserve">Langkah korektif</w:t>
            </w:r>
          </w:p>
        </w:tc>
        <w:tc>
          <w:tcPr/>
          <w:p>
            <w:pPr>
              <w:pStyle w:val="Compact"/>
            </w:pPr>
            <w:r>
              <w:t xml:space="preserve">Siapa yang bergerak</w:t>
            </w:r>
          </w:p>
        </w:tc>
      </w:tr>
      <w:tr>
        <w:tc>
          <w:tcPr/>
          <w:p>
            <w:pPr>
              <w:pStyle w:val="Compact"/>
            </w:pPr>
            <w:r>
              <w:t xml:space="preserve">1</w:t>
            </w:r>
          </w:p>
        </w:tc>
        <w:tc>
          <w:tcPr/>
          <w:p>
            <w:pPr>
              <w:pStyle w:val="Compact"/>
            </w:pPr>
            <w:r>
              <w:t xml:space="preserve">Studi selesai, proyek dinilai bermanfaat, tetapi tak ada badan usaha yang menawar</w:t>
            </w:r>
          </w:p>
        </w:tc>
        <w:tc>
          <w:tcPr/>
          <w:p>
            <w:pPr>
              <w:pStyle w:val="Compact"/>
            </w:pPr>
            <w:r>
              <w:t xml:space="preserve">Layak ekonomi, belum layak finansial; Dukungan Kelayakan tak pernah diajukan</w:t>
            </w:r>
          </w:p>
        </w:tc>
        <w:tc>
          <w:tcPr/>
          <w:p>
            <w:pPr>
              <w:pStyle w:val="Compact"/>
            </w:pPr>
            <w:r>
              <w:t xml:space="preserve">Ajukan Dukungan Kelayakan lewat mekanisme PMK No. 68 Tahun 2024</w:t>
            </w:r>
          </w:p>
        </w:tc>
        <w:tc>
          <w:tcPr/>
          <w:p>
            <w:pPr>
              <w:pStyle w:val="Compact"/>
            </w:pPr>
            <w:r>
              <w:t xml:space="preserve">OPD teknis dan Bappeda</w:t>
            </w:r>
          </w:p>
        </w:tc>
      </w:tr>
      <w:tr>
        <w:tc>
          <w:tcPr/>
          <w:p>
            <w:pPr>
              <w:pStyle w:val="Compact"/>
            </w:pPr>
            <w:r>
              <w:t xml:space="preserve">2</w:t>
            </w:r>
          </w:p>
        </w:tc>
        <w:tc>
          <w:tcPr/>
          <w:p>
            <w:pPr>
              <w:pStyle w:val="Compact"/>
            </w:pPr>
            <w:r>
              <w:t xml:space="preserve">Peserta lelang sedikit, penawaran jauh di atas perkiraan</w:t>
            </w:r>
          </w:p>
        </w:tc>
        <w:tc>
          <w:tcPr/>
          <w:p>
            <w:pPr>
              <w:pStyle w:val="Compact"/>
            </w:pPr>
            <w:r>
              <w:t xml:space="preserve">Alokasi risiko dalam rancangan kontrak tidak realistis</w:t>
            </w:r>
          </w:p>
        </w:tc>
        <w:tc>
          <w:tcPr/>
          <w:p>
            <w:pPr>
              <w:pStyle w:val="Compact"/>
            </w:pPr>
            <w:r>
              <w:t xml:space="preserve">Susun ulang alokasi risiko mengikuti prinsip pihak yang paling mampu mengelola</w:t>
            </w:r>
          </w:p>
        </w:tc>
        <w:tc>
          <w:tcPr/>
          <w:p>
            <w:pPr>
              <w:pStyle w:val="Compact"/>
            </w:pPr>
            <w:r>
              <w:t xml:space="preserve">Simpul KPBU pemda dan konsultan transaksi</w:t>
            </w:r>
          </w:p>
        </w:tc>
      </w:tr>
      <w:tr>
        <w:tc>
          <w:tcPr/>
          <w:p>
            <w:pPr>
              <w:pStyle w:val="Compact"/>
            </w:pPr>
            <w:r>
              <w:t xml:space="preserve">3</w:t>
            </w:r>
          </w:p>
        </w:tc>
        <w:tc>
          <w:tcPr/>
          <w:p>
            <w:pPr>
              <w:pStyle w:val="Compact"/>
            </w:pPr>
            <w:r>
              <w:t xml:space="preserve">Penyiapan berlarut; biaya studi dan lelang terasa besar dibanding nilai proyek</w:t>
            </w:r>
          </w:p>
        </w:tc>
        <w:tc>
          <w:tcPr/>
          <w:p>
            <w:pPr>
              <w:pStyle w:val="Compact"/>
            </w:pPr>
            <w:r>
              <w:t xml:space="preserve">Biaya transaksi KPBU relatif tetap, tidak menyusut mengikuti nilai proyek</w:t>
            </w:r>
          </w:p>
        </w:tc>
        <w:tc>
          <w:tcPr/>
          <w:p>
            <w:pPr>
              <w:pStyle w:val="Compact"/>
            </w:pPr>
            <w:r>
              <w:t xml:space="preserve">Gabungkan proyek sejenis lintas OPD, atau kembali ke belanja modal APBD</w:t>
            </w:r>
          </w:p>
        </w:tc>
        <w:tc>
          <w:tcPr/>
          <w:p>
            <w:pPr>
              <w:pStyle w:val="Compact"/>
            </w:pPr>
            <w:r>
              <w:t xml:space="preserve">Bappeda pada tahap perencanaan</w:t>
            </w:r>
          </w:p>
        </w:tc>
      </w:tr>
      <w:tr>
        <w:tc>
          <w:tcPr/>
          <w:p>
            <w:pPr>
              <w:pStyle w:val="Compact"/>
            </w:pPr>
            <w:r>
              <w:t xml:space="preserve">4</w:t>
            </w:r>
          </w:p>
        </w:tc>
        <w:tc>
          <w:tcPr/>
          <w:p>
            <w:pPr>
              <w:pStyle w:val="Compact"/>
            </w:pPr>
            <w:r>
              <w:rPr>
                <w:i/>
                <w:iCs/>
              </w:rPr>
              <w:t xml:space="preserve">Market sounding</w:t>
            </w:r>
            <w:r>
              <w:t xml:space="preserve"> </w:t>
            </w:r>
            <w:r>
              <w:t xml:space="preserve">sepi; pertanyaan yang muncul menyangkut status lahan</w:t>
            </w:r>
          </w:p>
        </w:tc>
        <w:tc>
          <w:tcPr/>
          <w:p>
            <w:pPr>
              <w:pStyle w:val="Compact"/>
            </w:pPr>
            <w:r>
              <w:t xml:space="preserve">Prastudi kelayakan dangkal; pengadaan tanah (UU No. 2 Tahun 2012) belum tuntas</w:t>
            </w:r>
          </w:p>
        </w:tc>
        <w:tc>
          <w:tcPr/>
          <w:p>
            <w:pPr>
              <w:pStyle w:val="Compact"/>
            </w:pPr>
            <w:r>
              <w:t xml:space="preserve">Perbaiki dokumen lewat Fasilitas Penyiapan Proyek; mulai penetapan lokasi lebih awal</w:t>
            </w:r>
          </w:p>
        </w:tc>
        <w:tc>
          <w:tcPr/>
          <w:p>
            <w:pPr>
              <w:pStyle w:val="Compact"/>
            </w:pPr>
            <w:r>
              <w:t xml:space="preserve">Tim penyiapan dan instansi pertanahan</w:t>
            </w:r>
          </w:p>
        </w:tc>
      </w:tr>
      <w:tr>
        <w:tc>
          <w:tcPr/>
          <w:p>
            <w:pPr>
              <w:pStyle w:val="Compact"/>
            </w:pPr>
            <w:r>
              <w:t xml:space="preserve">5</w:t>
            </w:r>
          </w:p>
        </w:tc>
        <w:tc>
          <w:tcPr/>
          <w:p>
            <w:pPr>
              <w:pStyle w:val="Compact"/>
            </w:pPr>
            <w:r>
              <w:t xml:space="preserve">Proyek berhenti persis setelah pergantian kepala daerah atau pejabat teknis kunci</w:t>
            </w:r>
          </w:p>
        </w:tc>
        <w:tc>
          <w:tcPr/>
          <w:p>
            <w:pPr>
              <w:pStyle w:val="Compact"/>
            </w:pPr>
            <w:r>
              <w:t xml:space="preserve">PJPK adalah kepala daerah, sedangkan kontrak KPBU berjalan 15–30 tahun</w:t>
            </w:r>
          </w:p>
        </w:tc>
        <w:tc>
          <w:tcPr/>
          <w:p>
            <w:pPr>
              <w:pStyle w:val="Compact"/>
            </w:pPr>
            <w:r>
              <w:t xml:space="preserve">Kunci komitmen dalam RPJMD dan dokumen anggaran; libatkan DPRD sejak awal</w:t>
            </w:r>
          </w:p>
        </w:tc>
        <w:tc>
          <w:tcPr/>
          <w:p>
            <w:pPr>
              <w:pStyle w:val="Compact"/>
            </w:pPr>
            <w:r>
              <w:t xml:space="preserve">Bappeda bersama DPRD</w:t>
            </w:r>
          </w:p>
        </w:tc>
      </w:tr>
      <w:tr>
        <w:tc>
          <w:tcPr/>
          <w:p>
            <w:pPr>
              <w:pStyle w:val="Compact"/>
            </w:pPr>
            <w:r>
              <w:t xml:space="preserve">6</w:t>
            </w:r>
          </w:p>
        </w:tc>
        <w:tc>
          <w:tcPr/>
          <w:p>
            <w:pPr>
              <w:pStyle w:val="Compact"/>
            </w:pPr>
            <w:r>
              <w:t xml:space="preserve">Skema berganti-ganti dan lelang gagal berulang, padahal kebutuhannya sederhana</w:t>
            </w:r>
          </w:p>
        </w:tc>
        <w:tc>
          <w:tcPr/>
          <w:p>
            <w:pPr>
              <w:pStyle w:val="Compact"/>
            </w:pPr>
            <w:r>
              <w:t xml:space="preserve">Skema ditetapkan tanpa uji</w:t>
            </w:r>
            <w:r>
              <w:t xml:space="preserve"> </w:t>
            </w:r>
            <w:r>
              <w:rPr>
                <w:i/>
                <w:iCs/>
              </w:rPr>
              <w:t xml:space="preserve">Value for Money</w:t>
            </w:r>
            <w:r>
              <w:t xml:space="preserve"> </w:t>
            </w:r>
            <w:r>
              <w:t xml:space="preserve">lebih dulu</w:t>
            </w:r>
          </w:p>
        </w:tc>
        <w:tc>
          <w:tcPr/>
          <w:p>
            <w:pPr>
              <w:pStyle w:val="Compact"/>
            </w:pPr>
            <w:r>
              <w:t xml:space="preserve">Uji</w:t>
            </w:r>
            <w:r>
              <w:t xml:space="preserve"> </w:t>
            </w:r>
            <w:r>
              <w:rPr>
                <w:i/>
                <w:iCs/>
              </w:rPr>
              <w:t xml:space="preserve">Value for Money</w:t>
            </w:r>
            <w:r>
              <w:t xml:space="preserve"> </w:t>
            </w:r>
            <w:r>
              <w:t xml:space="preserve">saat perencanaan; pakai pengadaan konvensional bila hasilnya negatif</w:t>
            </w:r>
          </w:p>
        </w:tc>
        <w:tc>
          <w:tcPr/>
          <w:p>
            <w:pPr>
              <w:pStyle w:val="Compact"/>
            </w:pPr>
            <w:r>
              <w:t xml:space="preserve">OPD teknis sebelum proyek diusulkan</w:t>
            </w:r>
          </w:p>
        </w:tc>
      </w:tr>
      <w:tr>
        <w:tc>
          <w:tcPr/>
          <w:p>
            <w:pPr>
              <w:pStyle w:val="Compact"/>
            </w:pPr>
            <w:r>
              <w:t xml:space="preserve">7</w:t>
            </w:r>
          </w:p>
        </w:tc>
        <w:tc>
          <w:tcPr/>
          <w:p>
            <w:pPr>
              <w:pStyle w:val="Compact"/>
            </w:pPr>
            <w:r>
              <w:t xml:space="preserve">Rencana obligasi daerah diumumkan, tetapi tak pernah sampai pendaftaran ke OJK</w:t>
            </w:r>
          </w:p>
        </w:tc>
        <w:tc>
          <w:tcPr/>
          <w:p>
            <w:pPr>
              <w:pStyle w:val="Compact"/>
            </w:pPr>
            <w:r>
              <w:t xml:space="preserve">Kesiapan kelembagaan pengelolaan utang dan proyek</w:t>
            </w:r>
            <w:r>
              <w:t xml:space="preserve"> </w:t>
            </w:r>
            <w:r>
              <w:rPr>
                <w:i/>
                <w:iCs/>
              </w:rPr>
              <w:t xml:space="preserve">bankable</w:t>
            </w:r>
            <w:r>
              <w:t xml:space="preserve"> </w:t>
            </w:r>
            <w:r>
              <w:t xml:space="preserve">belum memadai</w:t>
            </w:r>
          </w:p>
        </w:tc>
        <w:tc>
          <w:tcPr/>
          <w:p>
            <w:pPr>
              <w:pStyle w:val="Compact"/>
            </w:pPr>
            <w:r>
              <w:t xml:space="preserve">Bangun kapasitas pengelolaan utang lebih dulu; pilih instrumen yang siap dieksekusi</w:t>
            </w:r>
          </w:p>
        </w:tc>
        <w:tc>
          <w:tcPr/>
          <w:p>
            <w:pPr>
              <w:pStyle w:val="Compact"/>
            </w:pPr>
            <w:r>
              <w:t xml:space="preserve">BPKAD bersama OJK</w:t>
            </w:r>
          </w:p>
        </w:tc>
      </w:tr>
    </w:tbl>
    <w:bookmarkEnd w:id="23"/>
    <w:bookmarkStart w:id="24" w:name="X7b4affc06ecd03a4dbdd860537aa210f4b7a4ce"/>
    <w:p>
      <w:pPr>
        <w:pStyle w:val="Heading2"/>
      </w:pPr>
      <w:r>
        <w:t xml:space="preserve">Apakah proyek yang macet harus diganti skemanya atau diperbaiki?</w:t>
      </w:r>
    </w:p>
    <w:p>
      <w:pPr>
        <w:pStyle w:val="FirstParagraph"/>
      </w:pPr>
      <w:r>
        <w:t xml:space="preserve">Tergantung letak masalahnya. Bila hambatannya kelayakan finansial, perbaiki struktur dan pertimbangkan Dukungan Kelayakan. Bila dokumennya, perbaiki penyiapan. Bila skalanya, gabungkan proyek atau kembali ke belanja APBD. Bila kelayakan ekonominya yang tidak terpenuhi, hentikan. Mengganti instrumen tidak pernah memperbaiki proyek yang memang tidak layak.</w:t>
      </w:r>
    </w:p>
    <w:p>
      <w:pPr>
        <w:pStyle w:val="Compact"/>
        <w:numPr>
          <w:ilvl w:val="0"/>
          <w:numId w:val="1002"/>
        </w:numPr>
      </w:pPr>
      <w:r>
        <w:rPr>
          <w:b/>
          <w:bCs/>
        </w:rPr>
        <w:t xml:space="preserve">Kelayakan finansial:</w:t>
      </w:r>
      <w:r>
        <w:t xml:space="preserve"> </w:t>
      </w:r>
      <w:r>
        <w:t xml:space="preserve">proyek bermanfaat, tetapi arus kasnya tidak menutup investasi. Nilai apakah Dukungan Kelayakan layak diajukan.</w:t>
      </w:r>
    </w:p>
    <w:p>
      <w:pPr>
        <w:pStyle w:val="Compact"/>
        <w:numPr>
          <w:ilvl w:val="0"/>
          <w:numId w:val="1002"/>
        </w:numPr>
      </w:pPr>
      <w:r>
        <w:rPr>
          <w:b/>
          <w:bCs/>
        </w:rPr>
        <w:t xml:space="preserve">Dokumen penyiapan:</w:t>
      </w:r>
      <w:r>
        <w:t xml:space="preserve"> </w:t>
      </w:r>
      <w:r>
        <w:t xml:space="preserve">prastudi kelayakan dangkal atau status lahan belum jelas. Tuntaskan keduanya sebelum lelang diulang.</w:t>
      </w:r>
    </w:p>
    <w:p>
      <w:pPr>
        <w:pStyle w:val="Compact"/>
        <w:numPr>
          <w:ilvl w:val="0"/>
          <w:numId w:val="1002"/>
        </w:numPr>
      </w:pPr>
      <w:r>
        <w:rPr>
          <w:b/>
          <w:bCs/>
        </w:rPr>
        <w:t xml:space="preserve">Skala proyek:</w:t>
      </w:r>
      <w:r>
        <w:t xml:space="preserve"> </w:t>
      </w:r>
      <w:r>
        <w:t xml:space="preserve">nilai terlalu kecil dibanding biaya transaksi. Gabungkan dengan proyek sejenis atau kembalikan ke belanja modal APBD.</w:t>
      </w:r>
    </w:p>
    <w:p>
      <w:pPr>
        <w:pStyle w:val="Compact"/>
        <w:numPr>
          <w:ilvl w:val="0"/>
          <w:numId w:val="1002"/>
        </w:numPr>
      </w:pPr>
      <w:r>
        <w:rPr>
          <w:b/>
          <w:bCs/>
        </w:rPr>
        <w:t xml:space="preserve">Kelayakan ekonomi:</w:t>
      </w:r>
      <w:r>
        <w:t xml:space="preserve"> </w:t>
      </w:r>
      <w:r>
        <w:t xml:space="preserve">manfaat proyek tidak melebihi biayanya. Hentikan; tidak ada instrumen yang memperbaikinya.</w:t>
      </w:r>
    </w:p>
    <w:p>
      <w:pPr>
        <w:pStyle w:val="FirstParagraph"/>
      </w:pPr>
      <w:r>
        <w:t xml:space="preserve">Refleks yang paling sering keliru: mengganti instrumen begitu lelang gagal. Pergantian skema mengulang jam penyiapan dari awal: kajian baru, konsultasi pasar baru, persetujuan baru. Jika penyebab aslinya tidak disentuh, proyek berhenti lagi di titik yang sama dengan nama skema yang berbeda.</w:t>
      </w:r>
    </w:p>
    <w:bookmarkEnd w:id="24"/>
    <w:bookmarkStart w:id="27" w:name="X88303ad3430ddda9b15d87189253133e2295079"/>
    <w:p>
      <w:pPr>
        <w:pStyle w:val="Heading2"/>
      </w:pPr>
      <w:r>
        <w:t xml:space="preserve">Yang jarang diakui: sebagian proyek memang sebaiknya tidak dilanjutkan</w:t>
      </w:r>
    </w:p>
    <w:p>
      <w:pPr>
        <w:pStyle w:val="FirstParagraph"/>
      </w:pPr>
      <w:r>
        <w:t xml:space="preserve">Proyek zombi punya biaya nyata. Ia menyerap waktu tim penyiapan yang jumlahnya terbatas, mengunci anggaran perencanaan bertahun-tahun, dan setiap lelang gagal menurunkan minat pasar pada lelang berikutnya di daerah yang sama. Pembiayaan kreatif memperluas pilihan pendanaan; ia tidak menciptakan kelayakan yang tidak ada pada proyeknya.</w:t>
      </w:r>
    </w:p>
    <w:p>
      <w:pPr>
        <w:pStyle w:val="BodyText"/>
      </w:pPr>
      <w:r>
        <w:t xml:space="preserve">Angka pembanding membantu menakar seberapa ketat saringan ini. Basis data</w:t>
      </w:r>
      <w:r>
        <w:t xml:space="preserve"> </w:t>
      </w:r>
      <w:hyperlink r:id="rId25">
        <w:r>
          <w:rPr>
            <w:rStyle w:val="Hyperlink"/>
          </w:rPr>
          <w:t xml:space="preserve">ADB PPP Monitor</w:t>
        </w:r>
      </w:hyperlink>
      <w:r>
        <w:t xml:space="preserve"> </w:t>
      </w:r>
      <w:r>
        <w:t xml:space="preserve">mencatat 135 proyek PPP di Indonesia mencapai</w:t>
      </w:r>
      <w:r>
        <w:t xml:space="preserve"> </w:t>
      </w:r>
      <w:r>
        <w:rPr>
          <w:i/>
          <w:iCs/>
        </w:rPr>
        <w:t xml:space="preserve">financial close</w:t>
      </w:r>
      <w:r>
        <w:t xml:space="preserve"> </w:t>
      </w:r>
      <w:r>
        <w:t xml:space="preserve">sepanjang 1990–2019, rentang historis dan bukan potret 2026.</w:t>
      </w:r>
      <w:r>
        <w:t xml:space="preserve"> </w:t>
      </w:r>
      <w:hyperlink r:id="rId26">
        <w:r>
          <w:rPr>
            <w:rStyle w:val="Hyperlink"/>
          </w:rPr>
          <w:t xml:space="preserve">Pengalaman public private partnership</w:t>
        </w:r>
      </w:hyperlink>
      <w:r>
        <w:t xml:space="preserve"> </w:t>
      </w:r>
      <w:r>
        <w:t xml:space="preserve">lintas negara menunjukkan pola serupa: jarak antara proyek yang direncanakan dan yang benar-benar dibiayai selalu lebar.</w:t>
      </w:r>
    </w:p>
    <w:p>
      <w:pPr>
        <w:pStyle w:val="BodyText"/>
      </w:pPr>
      <w:r>
        <w:t xml:space="preserve">Sisi lain dari kejujuran ini: proyek kabupaten kecil bukan berarti mustahil. KPBU Penerangan Jalan Umum Kabupaten Madiun, dengan nilai investasi sekitar Rp 100 miliar menurut portal resmi Kantor Bersama KPBU Kementerian Keuangan (diakses 2026), sudah beroperasi komersial sejak 2023.</w:t>
      </w:r>
    </w:p>
    <w:p>
      <w:pPr>
        <w:pStyle w:val="BodyText"/>
      </w:pPr>
      <w:r>
        <w:t xml:space="preserve">Keputusan menghentikan proyek sebaiknya diperlakukan sebagai hasil analisis, bukan kegagalan pribadi tim penyiapan. Uji</w:t>
      </w:r>
      <w:r>
        <w:t xml:space="preserve"> </w:t>
      </w:r>
      <w:r>
        <w:rPr>
          <w:i/>
          <w:iCs/>
        </w:rPr>
        <w:t xml:space="preserve">Value for Money</w:t>
      </w:r>
      <w:r>
        <w:t xml:space="preserve"> </w:t>
      </w:r>
      <w:r>
        <w:t xml:space="preserve">yang negatif adalah temuan, dan temuan itu menyelamatkan anggaran perencanaan tahun berikutnya.</w:t>
      </w:r>
    </w:p>
    <w:bookmarkEnd w:id="27"/>
    <w:bookmarkStart w:id="33" w:name="faq-pertanyaan-yang-sering-diajukan"/>
    <w:p>
      <w:pPr>
        <w:pStyle w:val="Heading2"/>
      </w:pPr>
      <w:r>
        <w:t xml:space="preserve">FAQ (Pertanyaan yang Sering Diajukan)</w:t>
      </w:r>
    </w:p>
    <w:bookmarkStart w:id="28" w:name="X0a953ccf8085dc04ae27d288ae41375d894308c"/>
    <w:p>
      <w:pPr>
        <w:pStyle w:val="Heading3"/>
      </w:pPr>
      <w:r>
        <w:t xml:space="preserve">Mengapa proyek KPBU daerah sering mandek di tahap penyiapan?</w:t>
      </w:r>
    </w:p>
    <w:p>
      <w:pPr>
        <w:pStyle w:val="FirstParagraph"/>
      </w:pPr>
      <w:r>
        <w:t xml:space="preserve">Karena kesiapan teknis, bukan ketiadaan dana, yang paling sering menghambat. DJPK Kementerian Keuangan menegaskan pada 26 Mei 2026 bahwa tantangan utama pembiayaan kreatif daerah adalah komitmen kepala daerah dan kesiapan teknis pemda. Pola tersering: prastudi kelayakan dangkal, alokasi risiko tidak realistis, atau Dukungan Kelayakan tidak pernah diajukan.</w:t>
      </w:r>
    </w:p>
    <w:bookmarkEnd w:id="28"/>
    <w:bookmarkStart w:id="29" w:name="X5728e33a61f28a47f8004875b495ee8a430a26e"/>
    <w:p>
      <w:pPr>
        <w:pStyle w:val="Heading3"/>
      </w:pPr>
      <w:r>
        <w:t xml:space="preserve">Apakah pembiayaan kreatif menjamin proyek pasti didanai?</w:t>
      </w:r>
    </w:p>
    <w:p>
      <w:pPr>
        <w:pStyle w:val="FirstParagraph"/>
      </w:pPr>
      <w:r>
        <w:t xml:space="preserve">Tidak. Pembiayaan kreatif memperluas pilihan sumber pendanaan di luar APBD murni, termasuk KPBU, pinjaman daerah, dan obligasi daerah, tetapi tidak menciptakan kelayakan yang tidak ada. Proyek tetap harus layak secara ekonomi, dan layak secara finansial atau dibantu Dukungan Kelayakan, agar menarik minat badan usaha.</w:t>
      </w:r>
    </w:p>
    <w:bookmarkEnd w:id="29"/>
    <w:bookmarkStart w:id="30" w:name="X26a7e34266087ef6b984e4323a6b7ca15115a11"/>
    <w:p>
      <w:pPr>
        <w:pStyle w:val="Heading3"/>
      </w:pPr>
      <w:r>
        <w:t xml:space="preserve">Apa bedanya proyek yang layak ekonomi dan layak finansial?</w:t>
      </w:r>
    </w:p>
    <w:p>
      <w:pPr>
        <w:pStyle w:val="FirstParagraph"/>
      </w:pPr>
      <w:r>
        <w:t xml:space="preserve">Layak ekonomi berarti manfaat proyek bagi masyarakat melebihi biayanya secara keseluruhan. Layak finansial berarti arus kas proyek cukup mengembalikan investasi badan usaha. Proyek yang layak ekonomi tetapi belum layak finansial adalah kandidat Dukungan Kelayakan atau VGF, yang saat ini diatur dalam PMK No. 68 Tahun 2024.</w:t>
      </w:r>
    </w:p>
    <w:bookmarkEnd w:id="30"/>
    <w:bookmarkStart w:id="31" w:name="X3e72c94c8b3196f2ad628b1594590bc5e709f62"/>
    <w:p>
      <w:pPr>
        <w:pStyle w:val="Heading3"/>
      </w:pPr>
      <w:r>
        <w:t xml:space="preserve">Mengapa belum ada pemerintah daerah yang menerbitkan obligasi daerah?</w:t>
      </w:r>
    </w:p>
    <w:p>
      <w:pPr>
        <w:pStyle w:val="FirstParagraph"/>
      </w:pPr>
      <w:r>
        <w:t xml:space="preserve">Payung hukumnya tersedia, antara lain lewat UU No. 1 Tahun 2022 tentang HKPD, tetapi kesiapan kelembagaan pemda umumnya belum terbentuk. OJK menyatakan pada 2 Juni 2025 bahwa belum ada satu pun pemda yang mengajukan pernyataan pendaftaran obligasi atau sukuk daerah, dan hingga pertengahan 2026 belum ada penerbitan.</w:t>
      </w:r>
    </w:p>
    <w:bookmarkEnd w:id="31"/>
    <w:bookmarkStart w:id="32" w:name="X46866e0c0526d3a059acd4d871f8ace8f65aeef"/>
    <w:p>
      <w:pPr>
        <w:pStyle w:val="Heading3"/>
      </w:pPr>
      <w:r>
        <w:t xml:space="preserve">Apa yang terjadi pada proyek KPBU jika kepala daerah berganti?</w:t>
      </w:r>
    </w:p>
    <w:p>
      <w:pPr>
        <w:pStyle w:val="FirstParagraph"/>
      </w:pPr>
      <w:r>
        <w:t xml:space="preserve">PJPK proyek KPBU di daerah adalah kepala daerah, sedangkan kontrak KPBU umumnya berdurasi 15–30 tahun. Bila pergantian terjadi sebelum perjanjian kerja sama ditandatangani, proyek rawan kehilangan momentum. Setelah kontrak diteken, kewajiban mengikat pemda sebagai institusi, bukan pejabat yang kebetulan sedang menjabat.</w:t>
      </w:r>
    </w:p>
    <w:bookmarkEnd w:id="32"/>
    <w:bookmarkEnd w:id="33"/>
    <w:bookmarkStart w:id="34" w:name="kesimpulan"/>
    <w:p>
      <w:pPr>
        <w:pStyle w:val="Heading2"/>
      </w:pPr>
      <w:r>
        <w:t xml:space="preserve">Kesimpulan</w:t>
      </w:r>
    </w:p>
    <w:p>
      <w:pPr>
        <w:pStyle w:val="FirstParagraph"/>
      </w:pPr>
      <w:r>
        <w:t xml:space="preserve">Proyek yang diam di antara studi pendahuluan dan lelang hampir selalu punya alamat yang bisa ditunjuk: kelayakan finansial, dokumen, skala, komitmen, atau instrumen yang dipilih tanpa perangkatnya. Diagnosis itu pekerjaan pemda sendiri dan tidak bisa didelegasikan. Yang bisa ditambahkan dari luar adalah strukturnya: lebih dari sekadar menerbitkan jaminan, PT PII mendampingi penyiapan dan strukturisasi transaksi agar proyek berpeluang sampai ke</w:t>
      </w:r>
      <w:r>
        <w:t xml:space="preserve"> </w:t>
      </w:r>
      <w:r>
        <w:rPr>
          <w:i/>
          <w:iCs/>
        </w:rPr>
        <w:t xml:space="preserve">financial close</w:t>
      </w:r>
      <w:r>
        <w:t xml:space="preserve">. Pembicaraan yang paling berguna biasanya dimulai sebelum lelang diumumkan, bukan setelah lelang gagal untuk kedua kalinya.</w:t>
      </w:r>
    </w:p>
    <w:p>
      <w:pPr>
        <w:pStyle w:val="BodyText"/>
      </w:pPr>
      <w:r>
        <w:t xml:space="preserve">Gambaran lebih rinci mengenai skema Pembiayaan Kreatif untuk infrastruktur daerah dapat Anda telusuri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djpk.kemenkeu.go.id/?p=76326" TargetMode="External" /><Relationship Type="http://schemas.openxmlformats.org/officeDocument/2006/relationships/hyperlink" Id="rId25" Target="https://pppmonitor.adb.org/country/indonesia/national-ppp-landscape" TargetMode="External" /><Relationship Type="http://schemas.openxmlformats.org/officeDocument/2006/relationships/hyperlink" Id="rId21" Target="https://www.antaranews.com/berita/4872861/ojk-sebut-belum-ada-pemerintah-daerah-yang-ajukan-izin-obligasi-daerah"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6"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8" Target="https://djpk.kemenkeu.go.id/?p=76326" TargetMode="External" /><Relationship Type="http://schemas.openxmlformats.org/officeDocument/2006/relationships/hyperlink" Id="rId25" Target="https://pppmonitor.adb.org/country/indonesia/national-ppp-landscape" TargetMode="External" /><Relationship Type="http://schemas.openxmlformats.org/officeDocument/2006/relationships/hyperlink" Id="rId21" Target="https://www.antaranews.com/berita/4872861/ojk-sebut-belum-ada-pemerintah-daerah-yang-ajukan-izin-obligasi-daerah"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6"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2026-08-12T09:08:33Z</dcterms:created>
  <dcterms:modified xsi:type="dcterms:W3CDTF">2026-08-12T09:08:33Z</dcterms:modified>
</cp:coreProperties>
</file>

<file path=docProps/custom.xml><?xml version="1.0" encoding="utf-8"?>
<Properties xmlns="http://schemas.openxmlformats.org/officeDocument/2006/custom-properties" xmlns:vt="http://schemas.openxmlformats.org/officeDocument/2006/docPropsVTypes"/>
</file>