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"Risk Allocation in Indonesia's Public Private Partnership: Who Carries What"</w:t>
      </w:r>
      <w:r>
        <w:br/>
      </w:r>
      <w:r>
        <w:rPr>
          <w:rStyle w:val="FunctionTok"/>
        </w:rPr>
        <w:t xml:space="preserve">meta_title</w:t>
      </w:r>
      <w:r>
        <w:rPr>
          <w:rStyle w:val="KeywordTok"/>
        </w:rPr>
        <w:t xml:space="preserve">:</w:t>
      </w:r>
      <w:r>
        <w:rPr>
          <w:rStyle w:val="AttributeTok"/>
        </w:rPr>
        <w:t xml:space="preserve"> </w:t>
      </w:r>
      <w:r>
        <w:rPr>
          <w:rStyle w:val="StringTok"/>
        </w:rPr>
        <w:t xml:space="preserve">"Public Private Partnership Risk Allocation in Indonesia"</w:t>
      </w:r>
      <w:r>
        <w:br/>
      </w:r>
      <w:r>
        <w:rPr>
          <w:rStyle w:val="FunctionTok"/>
        </w:rPr>
        <w:t xml:space="preserve">meta_description</w:t>
      </w:r>
      <w:r>
        <w:rPr>
          <w:rStyle w:val="KeywordTok"/>
        </w:rPr>
        <w:t xml:space="preserve">:</w:t>
      </w:r>
      <w:r>
        <w:rPr>
          <w:rStyle w:val="AttributeTok"/>
        </w:rPr>
        <w:t xml:space="preserve"> </w:t>
      </w:r>
      <w:r>
        <w:rPr>
          <w:rStyle w:val="StringTok"/>
        </w:rPr>
        <w:t xml:space="preserve">"Who carries which risk in an Indonesian public private partnership, and exactly where the government guarantee stops. Risk matrix, exclusions, 2026 data."</w:t>
      </w:r>
      <w:r>
        <w:br/>
      </w:r>
      <w:r>
        <w:rPr>
          <w:rStyle w:val="FunctionTok"/>
        </w:rPr>
        <w:t xml:space="preserve">slug</w:t>
      </w:r>
      <w:r>
        <w:rPr>
          <w:rStyle w:val="KeywordTok"/>
        </w:rPr>
        <w:t xml:space="preserve">:</w:t>
      </w:r>
      <w:r>
        <w:rPr>
          <w:rStyle w:val="AttributeTok"/>
        </w:rPr>
        <w:t xml:space="preserve"> </w:t>
      </w:r>
      <w:r>
        <w:rPr>
          <w:rStyle w:val="StringTok"/>
        </w:rPr>
        <w:t xml:space="preserve">"public-private-partnership-risk-allocation-indonesia"</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"PPP risk allocation Indonesia"</w:t>
      </w:r>
      <w:r>
        <w:br/>
      </w:r>
      <w:r>
        <w:rPr>
          <w:rStyle w:val="AttributeTok"/>
        </w:rPr>
        <w:t xml:space="preserve">  </w:t>
      </w:r>
      <w:r>
        <w:rPr>
          <w:rStyle w:val="KeywordTok"/>
        </w:rPr>
        <w:t xml:space="preserve">-</w:t>
      </w:r>
      <w:r>
        <w:rPr>
          <w:rStyle w:val="AttributeTok"/>
        </w:rPr>
        <w:t xml:space="preserve"> </w:t>
      </w:r>
      <w:r>
        <w:rPr>
          <w:rStyle w:val="StringTok"/>
        </w:rPr>
        <w:t xml:space="preserve">"KPBU risk sharing"</w:t>
      </w:r>
      <w:r>
        <w:br/>
      </w:r>
      <w:r>
        <w:rPr>
          <w:rStyle w:val="AttributeTok"/>
        </w:rPr>
        <w:t xml:space="preserve">  </w:t>
      </w:r>
      <w:r>
        <w:rPr>
          <w:rStyle w:val="KeywordTok"/>
        </w:rPr>
        <w:t xml:space="preserve">-</w:t>
      </w:r>
      <w:r>
        <w:rPr>
          <w:rStyle w:val="AttributeTok"/>
        </w:rPr>
        <w:t xml:space="preserve"> </w:t>
      </w:r>
      <w:r>
        <w:rPr>
          <w:rStyle w:val="StringTok"/>
        </w:rPr>
        <w:t xml:space="preserve">"infrastructure guarantee Indonesia"</w:t>
      </w:r>
      <w:r>
        <w:br/>
      </w:r>
      <w:r>
        <w:rPr>
          <w:rStyle w:val="AttributeTok"/>
        </w:rPr>
        <w:t xml:space="preserve">  </w:t>
      </w:r>
      <w:r>
        <w:rPr>
          <w:rStyle w:val="KeywordTok"/>
        </w:rPr>
        <w:t xml:space="preserve">-</w:t>
      </w:r>
      <w:r>
        <w:rPr>
          <w:rStyle w:val="AttributeTok"/>
        </w:rPr>
        <w:t xml:space="preserve"> </w:t>
      </w:r>
      <w:r>
        <w:rPr>
          <w:rStyle w:val="StringTok"/>
        </w:rPr>
        <w:t xml:space="preserve">"government contracting agency PJPK"</w:t>
      </w:r>
      <w:r>
        <w:br/>
      </w:r>
      <w:r>
        <w:rPr>
          <w:rStyle w:val="AttributeTok"/>
        </w:rPr>
        <w:t xml:space="preserve">  </w:t>
      </w:r>
      <w:r>
        <w:rPr>
          <w:rStyle w:val="KeywordTok"/>
        </w:rPr>
        <w:t xml:space="preserve">-</w:t>
      </w:r>
      <w:r>
        <w:rPr>
          <w:rStyle w:val="AttributeTok"/>
        </w:rPr>
        <w:t xml:space="preserve"> </w:t>
      </w:r>
      <w:r>
        <w:rPr>
          <w:rStyle w:val="StringTok"/>
        </w:rPr>
        <w:t xml:space="preserve">"termination compensation PPP"</w:t>
      </w:r>
      <w:r>
        <w:br/>
      </w:r>
      <w:r>
        <w:rPr>
          <w:rStyle w:val="AttributeTok"/>
        </w:rPr>
        <w:t xml:space="preserve">  </w:t>
      </w:r>
      <w:r>
        <w:rPr>
          <w:rStyle w:val="KeywordTok"/>
        </w:rPr>
        <w:t xml:space="preserve">-</w:t>
      </w:r>
      <w:r>
        <w:rPr>
          <w:rStyle w:val="AttributeTok"/>
        </w:rPr>
        <w:t xml:space="preserve"> </w:t>
      </w:r>
      <w:r>
        <w:rPr>
          <w:rStyle w:val="StringTok"/>
        </w:rPr>
        <w:t xml:space="preserve">"Perpres 38/2015"</w:t>
      </w:r>
      <w:r>
        <w:br/>
      </w:r>
      <w:r>
        <w:rPr>
          <w:rStyle w:val="AttributeTok"/>
        </w:rPr>
        <w:t xml:space="preserve">  </w:t>
      </w:r>
      <w:r>
        <w:rPr>
          <w:rStyle w:val="KeywordTok"/>
        </w:rPr>
        <w:t xml:space="preserve">-</w:t>
      </w:r>
      <w:r>
        <w:rPr>
          <w:rStyle w:val="AttributeTok"/>
        </w:rPr>
        <w:t xml:space="preserve"> </w:t>
      </w:r>
      <w:r>
        <w:rPr>
          <w:rStyle w:val="StringTok"/>
        </w:rPr>
        <w:t xml:space="preserve">"contingent liability"</w:t>
      </w:r>
      <w:r>
        <w:br/>
      </w:r>
      <w:r>
        <w:rPr>
          <w:rStyle w:val="AttributeTok"/>
        </w:rPr>
        <w:t xml:space="preserve">  </w:t>
      </w:r>
      <w:r>
        <w:rPr>
          <w:rStyle w:val="KeywordTok"/>
        </w:rPr>
        <w:t xml:space="preserve">-</w:t>
      </w:r>
      <w:r>
        <w:rPr>
          <w:rStyle w:val="AttributeTok"/>
        </w:rPr>
        <w:t xml:space="preserve"> </w:t>
      </w:r>
      <w:r>
        <w:rPr>
          <w:rStyle w:val="StringTok"/>
        </w:rPr>
        <w:t xml:space="preserve">"guarantee and regress agreement"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"Indonesia's public private partnership framework"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"Indonesia's KPBU framework"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"creative financing routes for smaller and subnational projects"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68/2024 as the current implementing regulation for government support and infrastructure guarantees, superseding the 2010 and 2016 ministerial regulations"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"https://ppp.worldbank.org/allocating-risks"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"The international risk-allocation principle: assign each risk to the party best able to control and price it"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"https://pppmonitor.adb.org/country/indonesia/national-ppp-landscape"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"Foreign sponsor participation in 72 of 135 financially closed Indonesian PPP projects (2019 data)"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"https://www.petromindo.com/news/article/fitch-affirms-penjaminan-infrastruktur-indonesia-at-bbb-aaa-idn-outlook-stable"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"Fitch rating affirmation of 12 February 2026 and reported maximum guarantee capacity"</w:t>
      </w:r>
      <w:r>
        <w:br/>
      </w:r>
      <w:r>
        <w:rPr>
          <w:rStyle w:val="FunctionTok"/>
        </w:rPr>
        <w:t xml:space="preserve">brief_id</w:t>
      </w:r>
      <w:r>
        <w:rPr>
          <w:rStyle w:val="KeywordTok"/>
        </w:rPr>
        <w:t xml:space="preserve">:</w:t>
      </w:r>
      <w:r>
        <w:rPr>
          <w:rStyle w:val="AttributeTok"/>
        </w:rPr>
        <w:t xml:space="preserve"> </w:t>
      </w:r>
      <w:r>
        <w:rPr>
          <w:rStyle w:val="StringTok"/>
        </w:rPr>
        <w:t xml:space="preserve">"public-private-partnership-01"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1789</w:t>
      </w:r>
    </w:p>
    <w:p>
      <w:r>
        <w:pict>
          <v:rect style="width:0;height:1.5pt" o:hralign="center" o:hrstd="t" o:hr="t"/>
        </w:pict>
      </w:r>
    </w:p>
    <w:bookmarkEnd w:id="16"/>
    <w:bookmarkStart w:id="35" w:name="X213c6492569269b1e797bfa5d31cd4d467cd62e"/>
    <w:p>
      <w:pPr>
        <w:pStyle w:val="Heading1"/>
      </w:pPr>
      <w:r>
        <w:t xml:space="preserve">Risk Allocation in Indonesia’s Public Private Partnership: Who Carries What</w:t>
      </w:r>
    </w:p>
    <w:p>
      <w:pPr>
        <w:pStyle w:val="FirstParagraph"/>
      </w:pPr>
      <w:r>
        <w:t xml:space="preserve">An investment committee can read Indonesia’s entire PPP regulatory stack and still not answer the question that decides the vote: if this project goes wrong, who pays? Most material on</w:t>
      </w:r>
      <w:r>
        <w:t xml:space="preserve"> </w:t>
      </w:r>
      <w:hyperlink r:id="rId17">
        <w:r>
          <w:rPr>
            <w:rStyle w:val="Hyperlink"/>
          </w:rPr>
          <w:t xml:space="preserve">Indonesia’s public private partnership framework</w:t>
        </w:r>
      </w:hyperlink>
      <w:r>
        <w:t xml:space="preserve"> </w:t>
      </w:r>
      <w:r>
        <w:t xml:space="preserve">explains the process. Very little of it draws the line between risks the state has contractually accepted, risks a government guarantee will pay against, and risks that stay with the sponsor whatever the contract says. This article maps that line, including the rows where the answer is no.</w:t>
      </w:r>
    </w:p>
    <w:p>
      <w:pPr>
        <w:pStyle w:val="BlockText"/>
      </w:pPr>
      <w:r>
        <w:rPr>
          <w:b/>
          <w:bCs/>
        </w:rPr>
        <w:t xml:space="preserve">In brief:</w:t>
      </w:r>
      <w:r>
        <w:t xml:space="preserve"> </w:t>
      </w:r>
      <w:r>
        <w:t xml:space="preserve">Risk allocation in a public private partnership is the contractual assignment of each project risk to the party best able to control and price it. In Indonesia’s KPBU scheme (</w:t>
      </w:r>
      <w:r>
        <w:rPr>
          <w:i/>
          <w:iCs/>
        </w:rPr>
        <w:t xml:space="preserve">Kerja Sama Pemerintah dengan Badan Usaha</w:t>
      </w:r>
      <w:r>
        <w:t xml:space="preserve">), under Peraturan Presiden No. 38 Tahun 2015, government-side risks can be covered by a state guarantee; commercial risks stay with the project company.</w:t>
      </w:r>
    </w:p>
    <w:bookmarkStart w:id="20" w:name="Xcd3d783ecfc9586b1baaa8adddfaf205b023e81"/>
    <w:p>
      <w:pPr>
        <w:pStyle w:val="Heading2"/>
      </w:pPr>
      <w:r>
        <w:t xml:space="preserve">What is risk allocation in an Indonesian public private partnership?</w:t>
      </w:r>
    </w:p>
    <w:p>
      <w:pPr>
        <w:pStyle w:val="FirstParagraph"/>
      </w:pPr>
      <w:r>
        <w:t xml:space="preserve">Risk allocation is the exercise of writing each identified project risk into the cooperation agreement against a named owner. Indonesia follows the international convention: a risk belongs to whichever party can best control, mitigate, or absorb it. Misallocation gets priced into the bid, or it kills the deal.</w:t>
      </w:r>
    </w:p>
    <w:p>
      <w:pPr>
        <w:pStyle w:val="BodyText"/>
      </w:pPr>
      <w:r>
        <w:t xml:space="preserve">A KPBU contract has two parties. On one side sits the PJPK (</w:t>
      </w:r>
      <w:r>
        <w:rPr>
          <w:i/>
          <w:iCs/>
        </w:rPr>
        <w:t xml:space="preserve">Penanggung Jawab Proyek Kerja Sama</w:t>
      </w:r>
      <w:r>
        <w:t xml:space="preserve">), the government contracting agency: a ministry, a regional government, or a state-owned enterprise. On the other sits the Badan Usaha Pelaksana, the project company formed to build and operate the asset.</w:t>
      </w:r>
    </w:p>
    <w:p>
      <w:pPr>
        <w:pStyle w:val="BodyText"/>
      </w:pPr>
      <w:hyperlink r:id="rId18">
        <w:r>
          <w:rPr>
            <w:rStyle w:val="Hyperlink"/>
          </w:rPr>
          <w:t xml:space="preserve">Indonesia’s KPBU framework</w:t>
        </w:r>
      </w:hyperlink>
      <w:r>
        <w:t xml:space="preserve">, the local name for a public private partnership, sits under Peraturan Presiden (Presidential Regulation) No. 38 Tahun 2015, still in force as at August 2026.</w:t>
      </w:r>
    </w:p>
    <w:p>
      <w:pPr>
        <w:pStyle w:val="BodyText"/>
      </w:pPr>
      <w:r>
        <w:t xml:space="preserve">The guarantee is a third instrument layered on top of that contract, not a clause inside it. Its issuer stands behind obligations the PJPK already accepted, so a guarantee can only reach a risk the contract assigned to the government side. The World Bank’s guidance on</w:t>
      </w:r>
      <w:r>
        <w:t xml:space="preserve"> </w:t>
      </w:r>
      <w:hyperlink r:id="rId19">
        <w:r>
          <w:rPr>
            <w:rStyle w:val="Hyperlink"/>
          </w:rPr>
          <w:t xml:space="preserve">allocating risks in PPPs</w:t>
        </w:r>
      </w:hyperlink>
      <w:r>
        <w:t xml:space="preserve"> </w:t>
      </w:r>
      <w:r>
        <w:t xml:space="preserve">rests on the same logic: allocation is settled at drafting, not at claim.</w:t>
      </w:r>
    </w:p>
    <w:bookmarkEnd w:id="20"/>
    <w:bookmarkStart w:id="21" w:name="X532e34980618cba58f0ca849ebce2ac393e0c16"/>
    <w:p>
      <w:pPr>
        <w:pStyle w:val="Heading2"/>
      </w:pPr>
      <w:r>
        <w:t xml:space="preserve">Who carries which risk across the project life</w:t>
      </w:r>
    </w:p>
    <w:p>
      <w:pPr>
        <w:pStyle w:val="FirstParagraph"/>
      </w:pPr>
      <w:r>
        <w:t xml:space="preserve">Across a typical Indonesian KPBU contract, the government side carries land, permits, discriminatory changes of law, contracted tariff adjustments, and its own default. The project company carries construction cost, demand, operating cost, and currency. A government guarantee reaches only the first group, and not always in full.</w:t>
      </w:r>
    </w:p>
    <w:p>
      <w:pPr>
        <w:pStyle w:val="BodyText"/>
      </w:pPr>
      <w:r>
        <w:t xml:space="preserve">Indonesia publishes its own reference. PMK 68/2024 requires the country’s infrastructure guarantee business entity to issue an annual risk-allocation guide, the</w:t>
      </w:r>
      <w:r>
        <w:t xml:space="preserve"> </w:t>
      </w:r>
      <w:r>
        <w:rPr>
          <w:i/>
          <w:iCs/>
        </w:rPr>
        <w:t xml:space="preserve">Acuan Alokasi Risiko</w:t>
      </w:r>
      <w:r>
        <w:t xml:space="preserve">, organised by sector and used by contracting agencies and lenders alike.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category</w:t>
            </w:r>
          </w:p>
        </w:tc>
        <w:tc>
          <w:tcPr/>
          <w:p>
            <w:pPr>
              <w:pStyle w:val="Compact"/>
            </w:pPr>
            <w:r>
              <w:t xml:space="preserve">Typically borne by</w:t>
            </w:r>
          </w:p>
        </w:tc>
        <w:tc>
          <w:tcPr/>
          <w:p>
            <w:pPr>
              <w:pStyle w:val="Compact"/>
            </w:pPr>
            <w:r>
              <w:t xml:space="preserve">Reachable by a government guarantee?</w:t>
            </w:r>
          </w:p>
        </w:tc>
      </w:tr>
      <w:tr>
        <w:tc>
          <w:tcPr/>
          <w:p>
            <w:pPr>
              <w:pStyle w:val="Compact"/>
            </w:pPr>
            <w:r>
              <w:t xml:space="preserve">Discriminatory, project-specific change of law</w:t>
            </w:r>
          </w:p>
        </w:tc>
        <w:tc>
          <w:tcPr/>
          <w:p>
            <w:pPr>
              <w:pStyle w:val="Compact"/>
            </w:pPr>
            <w:r>
              <w:t xml:space="preserve">Government (PJPK)</w:t>
            </w:r>
          </w:p>
        </w:tc>
        <w:tc>
          <w:tcPr/>
          <w:p>
            <w:pPr>
              <w:pStyle w:val="Compact"/>
            </w:pPr>
            <w:r>
              <w:t xml:space="preserve">Yes, core guaranteed family</w:t>
            </w:r>
          </w:p>
        </w:tc>
      </w:tr>
      <w:tr>
        <w:tc>
          <w:tcPr/>
          <w:p>
            <w:pPr>
              <w:pStyle w:val="Compact"/>
            </w:pPr>
            <w:r>
              <w:t xml:space="preserve">Delay or failure to issue key approvals</w:t>
            </w:r>
          </w:p>
        </w:tc>
        <w:tc>
          <w:tcPr/>
          <w:p>
            <w:pPr>
              <w:pStyle w:val="Compact"/>
            </w:pPr>
            <w:r>
              <w:t xml:space="preserve">Government (PJPK)</w:t>
            </w:r>
          </w:p>
        </w:tc>
        <w:tc>
          <w:tcPr/>
          <w:p>
            <w:pPr>
              <w:pStyle w:val="Compact"/>
            </w:pPr>
            <w:r>
              <w:t xml:space="preserve">Yes, explicitly guaranteed</w:t>
            </w:r>
          </w:p>
        </w:tc>
      </w:tr>
      <w:tr>
        <w:tc>
          <w:tcPr/>
          <w:p>
            <w:pPr>
              <w:pStyle w:val="Compact"/>
            </w:pPr>
            <w:r>
              <w:t xml:space="preserve">Land acquisition and site handover delay</w:t>
            </w:r>
          </w:p>
        </w:tc>
        <w:tc>
          <w:tcPr/>
          <w:p>
            <w:pPr>
              <w:pStyle w:val="Compact"/>
            </w:pPr>
            <w:r>
              <w:t xml:space="preserve">Government (PJPK)</w:t>
            </w:r>
          </w:p>
        </w:tc>
        <w:tc>
          <w:tcPr/>
          <w:p>
            <w:pPr>
              <w:pStyle w:val="Compact"/>
            </w:pPr>
            <w:r>
              <w:t xml:space="preserve">Yes, a market-practice trigger</w:t>
            </w:r>
          </w:p>
        </w:tc>
      </w:tr>
      <w:tr>
        <w:tc>
          <w:tcPr/>
          <w:p>
            <w:pPr>
              <w:pStyle w:val="Compact"/>
            </w:pPr>
            <w:r>
              <w:t xml:space="preserve">Contracted tariff adjustment not delivered</w:t>
            </w:r>
          </w:p>
        </w:tc>
        <w:tc>
          <w:tcPr/>
          <w:p>
            <w:pPr>
              <w:pStyle w:val="Compact"/>
            </w:pPr>
            <w:r>
              <w:t xml:space="preserve">Government (PJPK)</w:t>
            </w:r>
          </w:p>
        </w:tc>
        <w:tc>
          <w:tcPr/>
          <w:p>
            <w:pPr>
              <w:pStyle w:val="Compact"/>
            </w:pPr>
            <w:r>
              <w:t xml:space="preserve">Yes, a market-practice trigger</w:t>
            </w:r>
          </w:p>
        </w:tc>
      </w:tr>
      <w:tr>
        <w:tc>
          <w:tcPr/>
          <w:p>
            <w:pPr>
              <w:pStyle w:val="Compact"/>
            </w:pPr>
            <w:r>
              <w:t xml:space="preserve">Early termination on PJPK default</w:t>
            </w:r>
          </w:p>
        </w:tc>
        <w:tc>
          <w:tcPr/>
          <w:p>
            <w:pPr>
              <w:pStyle w:val="Compact"/>
            </w:pPr>
            <w:r>
              <w:t xml:space="preserve">Government (PJPK)</w:t>
            </w:r>
          </w:p>
        </w:tc>
        <w:tc>
          <w:tcPr/>
          <w:p>
            <w:pPr>
              <w:pStyle w:val="Compact"/>
            </w:pPr>
            <w:r>
              <w:t xml:space="preserve">Yes, via termination compensation</w:t>
            </w:r>
          </w:p>
        </w:tc>
      </w:tr>
      <w:tr>
        <w:tc>
          <w:tcPr/>
          <w:p>
            <w:pPr>
              <w:pStyle w:val="Compact"/>
            </w:pPr>
            <w:r>
              <w:t xml:space="preserve">Other acts or omissions of government as counterparty</w:t>
            </w:r>
          </w:p>
        </w:tc>
        <w:tc>
          <w:tcPr/>
          <w:p>
            <w:pPr>
              <w:pStyle w:val="Compact"/>
            </w:pPr>
            <w:r>
              <w:t xml:space="preserve">Government (PJPK)</w:t>
            </w:r>
          </w:p>
        </w:tc>
        <w:tc>
          <w:tcPr/>
          <w:p>
            <w:pPr>
              <w:pStyle w:val="Compact"/>
            </w:pPr>
            <w:r>
              <w:t xml:space="preserve">Yes, the catch-all family</w:t>
            </w:r>
          </w:p>
        </w:tc>
      </w:tr>
      <w:tr>
        <w:tc>
          <w:tcPr/>
          <w:p>
            <w:pPr>
              <w:pStyle w:val="Compact"/>
            </w:pPr>
            <w:r>
              <w:t xml:space="preserve">Force majeure, natural and political</w:t>
            </w:r>
          </w:p>
        </w:tc>
        <w:tc>
          <w:tcPr/>
          <w:p>
            <w:pPr>
              <w:pStyle w:val="Compact"/>
            </w:pPr>
            <w:r>
              <w:t xml:space="preserve">Shared, negotiated</w:t>
            </w:r>
          </w:p>
        </w:tc>
        <w:tc>
          <w:tcPr/>
          <w:p>
            <w:pPr>
              <w:pStyle w:val="Compact"/>
            </w:pPr>
            <w:r>
              <w:t xml:space="preserve">Partial, and negotiated case by case</w:t>
            </w:r>
          </w:p>
        </w:tc>
      </w:tr>
      <w:tr>
        <w:tc>
          <w:tcPr/>
          <w:p>
            <w:pPr>
              <w:pStyle w:val="Compact"/>
            </w:pPr>
            <w:r>
              <w:t xml:space="preserve">Construction cost overrun and delay</w:t>
            </w:r>
          </w:p>
        </w:tc>
        <w:tc>
          <w:tcPr/>
          <w:p>
            <w:pPr>
              <w:pStyle w:val="Compact"/>
            </w:pPr>
            <w:r>
              <w:t xml:space="preserve">Project company and its contractor</w:t>
            </w:r>
          </w:p>
        </w:tc>
        <w:tc>
          <w:tcPr/>
          <w:p>
            <w:pPr>
              <w:pStyle w:val="Compact"/>
            </w:pPr>
            <w:r>
              <w:t xml:space="preserve">No</w:t>
            </w:r>
          </w:p>
        </w:tc>
      </w:tr>
      <w:tr>
        <w:tc>
          <w:tcPr/>
          <w:p>
            <w:pPr>
              <w:pStyle w:val="Compact"/>
            </w:pPr>
            <w:r>
              <w:t xml:space="preserve">Demand, traffic, or volume</w:t>
            </w:r>
          </w:p>
        </w:tc>
        <w:tc>
          <w:tcPr/>
          <w:p>
            <w:pPr>
              <w:pStyle w:val="Compact"/>
            </w:pPr>
            <w:r>
              <w:t xml:space="preserve">Project company and its lenders</w:t>
            </w:r>
          </w:p>
        </w:tc>
        <w:tc>
          <w:tcPr/>
          <w:p>
            <w:pPr>
              <w:pStyle w:val="Compact"/>
            </w:pPr>
            <w:r>
              <w:t xml:space="preserve">No, commercial risk</w:t>
            </w:r>
          </w:p>
        </w:tc>
      </w:tr>
      <w:tr>
        <w:tc>
          <w:tcPr/>
          <w:p>
            <w:pPr>
              <w:pStyle w:val="Compact"/>
            </w:pPr>
            <w:r>
              <w:t xml:space="preserve">Operating and maintenance cost</w:t>
            </w:r>
          </w:p>
        </w:tc>
        <w:tc>
          <w:tcPr/>
          <w:p>
            <w:pPr>
              <w:pStyle w:val="Compact"/>
            </w:pPr>
            <w:r>
              <w:t xml:space="preserve">Project company</w:t>
            </w:r>
          </w:p>
        </w:tc>
        <w:tc>
          <w:tcPr/>
          <w:p>
            <w:pPr>
              <w:pStyle w:val="Compact"/>
            </w:pPr>
            <w:r>
              <w:t xml:space="preserve">No</w:t>
            </w:r>
          </w:p>
        </w:tc>
      </w:tr>
      <w:tr>
        <w:tc>
          <w:tcPr/>
          <w:p>
            <w:pPr>
              <w:pStyle w:val="Compact"/>
            </w:pPr>
            <w:r>
              <w:t xml:space="preserve">Foreign exchange and rupiah revenue denomination</w:t>
            </w:r>
          </w:p>
        </w:tc>
        <w:tc>
          <w:tcPr/>
          <w:p>
            <w:pPr>
              <w:pStyle w:val="Compact"/>
            </w:pPr>
            <w:r>
              <w:t xml:space="preserve">Project company, sponsors, lenders</w:t>
            </w:r>
          </w:p>
        </w:tc>
        <w:tc>
          <w:tcPr/>
          <w:p>
            <w:pPr>
              <w:pStyle w:val="Compact"/>
            </w:pPr>
            <w:r>
              <w:t xml:space="preserve">No, hedged separately</w:t>
            </w:r>
          </w:p>
        </w:tc>
      </w:tr>
      <w:tr>
        <w:tc>
          <w:tcPr/>
          <w:p>
            <w:pPr>
              <w:pStyle w:val="Compact"/>
            </w:pPr>
            <w:r>
              <w:t xml:space="preserve">Project company or sponsor default</w:t>
            </w:r>
          </w:p>
        </w:tc>
        <w:tc>
          <w:tcPr/>
          <w:p>
            <w:pPr>
              <w:pStyle w:val="Compact"/>
            </w:pPr>
            <w:r>
              <w:t xml:space="preserve">Project company</w:t>
            </w:r>
          </w:p>
        </w:tc>
        <w:tc>
          <w:tcPr/>
          <w:p>
            <w:pPr>
              <w:pStyle w:val="Compact"/>
            </w:pPr>
            <w:r>
              <w:t xml:space="preserve">No</w:t>
            </w:r>
          </w:p>
        </w:tc>
      </w:tr>
    </w:tbl>
    <w:p>
      <w:pPr>
        <w:pStyle w:val="BodyText"/>
      </w:pPr>
      <w:r>
        <w:t xml:space="preserve">The force majeure row is the one worth arguing over. Most KPBU contracts treat natural force majeure as grounds for time relief rather than compensation, for both sides. Only certain politically driven events overlap with guaranteed government risk.</w:t>
      </w:r>
    </w:p>
    <w:p>
      <w:pPr>
        <w:pStyle w:val="BodyText"/>
      </w:pPr>
      <w:r>
        <w:t xml:space="preserve">Offshore readers should look hardest at currency. Revenue is denominated in rupiah, and the guarantee does not convert it. Currency inconvertibility is insurable elsewhere, notably under MIGA’s political risk insurance, but sits outside Indonesia’s instrument.</w:t>
      </w:r>
    </w:p>
    <w:bookmarkEnd w:id="21"/>
    <w:bookmarkStart w:id="23" w:name="Xb4810e7a0f3b302a85c2f4e6fb61e47ea19dacc"/>
    <w:p>
      <w:pPr>
        <w:pStyle w:val="Heading2"/>
      </w:pPr>
      <w:r>
        <w:t xml:space="preserve">What does Indonesia’s government guarantee actually cover?</w:t>
      </w:r>
    </w:p>
    <w:p>
      <w:pPr>
        <w:pStyle w:val="FirstParagraph"/>
      </w:pPr>
      <w:r>
        <w:t xml:space="preserve">The guarantee reaches obligations the state itself accepted under the cooperation agreement, and nothing beyond them. Its legal basis is Peraturan Presiden No. 78 Tahun 2010, still in force, with Peraturan Menteri Keuangan (Minister of Finance Regulation) No. 68 Tahun 2024, effective 18 October 2024. Four risk families qualify:</w:t>
      </w:r>
    </w:p>
    <w:p>
      <w:pPr>
        <w:pStyle w:val="Compact"/>
        <w:numPr>
          <w:ilvl w:val="0"/>
          <w:numId w:val="1001"/>
        </w:numPr>
      </w:pPr>
      <w:r>
        <w:rPr>
          <w:b/>
          <w:bCs/>
        </w:rPr>
        <w:t xml:space="preserve">Discriminatory, project-specific change of law</w:t>
      </w:r>
      <w:r>
        <w:t xml:space="preserve">, aimed at this project or its narrow sector rather than at general policy.</w:t>
      </w:r>
    </w:p>
    <w:p>
      <w:pPr>
        <w:pStyle w:val="Compact"/>
        <w:numPr>
          <w:ilvl w:val="0"/>
          <w:numId w:val="1001"/>
        </w:numPr>
      </w:pPr>
      <w:r>
        <w:rPr>
          <w:b/>
          <w:bCs/>
        </w:rPr>
        <w:t xml:space="preserve">Delay or failure to obtain key government approvals</w:t>
      </w:r>
      <w:r>
        <w:t xml:space="preserve"> </w:t>
      </w:r>
      <w:r>
        <w:t xml:space="preserve">the agency undertook to deliver.</w:t>
      </w:r>
    </w:p>
    <w:p>
      <w:pPr>
        <w:pStyle w:val="Compact"/>
        <w:numPr>
          <w:ilvl w:val="0"/>
          <w:numId w:val="1001"/>
        </w:numPr>
      </w:pPr>
      <w:r>
        <w:rPr>
          <w:b/>
          <w:bCs/>
        </w:rPr>
        <w:t xml:space="preserve">Early termination on PJPK default</w:t>
      </w:r>
      <w:r>
        <w:t xml:space="preserve">, where compensation falls due.</w:t>
      </w:r>
    </w:p>
    <w:p>
      <w:pPr>
        <w:pStyle w:val="Compact"/>
        <w:numPr>
          <w:ilvl w:val="0"/>
          <w:numId w:val="1001"/>
        </w:numPr>
      </w:pPr>
      <w:r>
        <w:rPr>
          <w:b/>
          <w:bCs/>
        </w:rPr>
        <w:t xml:space="preserve">Other acts or omissions of government as a contracting party</w:t>
      </w:r>
      <w:r>
        <w:t xml:space="preserve">, the catch-all that stops the list being gamed.</w:t>
      </w:r>
    </w:p>
    <w:p>
      <w:pPr>
        <w:pStyle w:val="FirstParagraph"/>
      </w:pPr>
      <w:r>
        <w:t xml:space="preserve">One caveat for anyone checking the law directly: as at August 2026, the Ministry of Finance’s KPBU portal still listed the revoked 2010 and 2016 ministerial regulations as the legal basis. The</w:t>
      </w:r>
      <w:r>
        <w:t xml:space="preserve"> </w:t>
      </w:r>
      <w:hyperlink r:id="rId22">
        <w:r>
          <w:rPr>
            <w:rStyle w:val="Hyperlink"/>
          </w:rPr>
          <w:t xml:space="preserve">JDIH record for PMK 68 Tahun 2024</w:t>
        </w:r>
      </w:hyperlink>
      <w:r>
        <w:t xml:space="preserve"> </w:t>
      </w:r>
      <w:r>
        <w:t xml:space="preserve">is the current position.</w:t>
      </w:r>
    </w:p>
    <w:p>
      <w:pPr>
        <w:pStyle w:val="BodyText"/>
      </w:pPr>
      <w:r>
        <w:t xml:space="preserve">Guarantees are appraised, structured, and issued by PT Penjaminan Infrastruktur Indonesia (PT PII), known internationally as the Indonesia Infrastructure Guarantee Fund (IIGF), the Ministry of Finance’s Badan Usaha Penjaminan Infrastruktur for KPBU projects.</w:t>
      </w:r>
    </w:p>
    <w:p>
      <w:pPr>
        <w:pStyle w:val="BodyText"/>
      </w:pPr>
      <w:r>
        <w:t xml:space="preserve">The guarantor’s own standing matters, because a guarantee is only as good as whoever writes it. As at June 2026 it had guaranteed 61 projects, 38 of them KPBU, worth more than IDR 732 trillion. Fitch affirmed it at</w:t>
      </w:r>
      <w:r>
        <w:t xml:space="preserve"> </w:t>
      </w:r>
      <w:r>
        <w:t xml:space="preserve">‘BBB’</w:t>
      </w:r>
      <w:r>
        <w:t xml:space="preserve"> </w:t>
      </w:r>
      <w:r>
        <w:t xml:space="preserve">long-term and</w:t>
      </w:r>
      <w:r>
        <w:t xml:space="preserve"> </w:t>
      </w:r>
      <w:r>
        <w:t xml:space="preserve">‘AAA(idn)’</w:t>
      </w:r>
      <w:r>
        <w:t xml:space="preserve"> </w:t>
      </w:r>
      <w:r>
        <w:t xml:space="preserve">national, Outlook Stable, on 12 February 2026, with reported maximum guarantee capacity of IDR 191.6 trillion on IDR 16.0 trillion of equity.</w:t>
      </w:r>
    </w:p>
    <w:p>
      <w:pPr>
        <w:pStyle w:val="BodyText"/>
      </w:pPr>
      <w:r>
        <w:t xml:space="preserve">Government support and a government guarantee are different instruments, and confusing them mis-prices the deal. Support pays: the Viability Gap Fund covers up to 49% of construction, equipment, and installation cost under PMK 68/2024. A guarantee pays only when a defined government-side risk is triggered.</w:t>
      </w:r>
    </w:p>
    <w:bookmarkEnd w:id="23"/>
    <w:bookmarkStart w:id="25" w:name="what-the-guarantee-will-not-do-for-you"/>
    <w:p>
      <w:pPr>
        <w:pStyle w:val="Heading2"/>
      </w:pPr>
      <w:r>
        <w:t xml:space="preserve">What the guarantee will not do for you</w:t>
      </w:r>
    </w:p>
    <w:p>
      <w:pPr>
        <w:pStyle w:val="FirstParagraph"/>
      </w:pPr>
      <w:r>
        <w:t xml:space="preserve">A government guarantee does not underwrite the sponsor’s business case. It is not a subsidy, not a revenue floor, and not a repair for a badly allocated contract. It carries regress, so paid claims are recovered from the responsible government party.</w:t>
      </w:r>
    </w:p>
    <w:p>
      <w:pPr>
        <w:pStyle w:val="BodyText"/>
      </w:pPr>
      <w:r>
        <w:t xml:space="preserve">Nothing is disbursed at financial close, and nothing is paid while the project performs. If traffic arrives 30% below forecast, no claim arises, because no government obligation has been breached. Appraisal also happens before issue, not after: a mis-assigned risk is sent back to be renegotiated rather than priced into cover.</w:t>
      </w:r>
    </w:p>
    <w:p>
      <w:pPr>
        <w:pStyle w:val="BodyText"/>
      </w:pPr>
      <w:r>
        <w:t xml:space="preserve">Regress deserves a closer look. Each guarantee is signed alongside a guarantee and regress agreement, so an amount paid to a project company or its lenders is recoverable from the government party responsible. The payment obligation is real; the agency’s underlying liability does not disappear.</w:t>
      </w:r>
    </w:p>
    <w:p>
      <w:pPr>
        <w:pStyle w:val="BodyText"/>
      </w:pPr>
      <w:r>
        <w:t xml:space="preserve">Transaction advisers describe the instrument as typically capped, with a tenor of roughly up to 15 years and upfront plus recurring fees. That is law-firm commentary current to 2026, not published guarantee terms. Fifteen years of cover against a 25-to-30-year concession leaves a tail somebody must own.</w:t>
      </w:r>
    </w:p>
    <w:p>
      <w:pPr>
        <w:pStyle w:val="BodyText"/>
      </w:pPr>
      <w:r>
        <w:t xml:space="preserve">Foreign participation is real but partial. The Asian Development Bank’s</w:t>
      </w:r>
      <w:r>
        <w:t xml:space="preserve"> </w:t>
      </w:r>
      <w:hyperlink r:id="rId24">
        <w:r>
          <w:rPr>
            <w:rStyle w:val="Hyperlink"/>
          </w:rPr>
          <w:t xml:space="preserve">national PPP dataset</w:t>
        </w:r>
      </w:hyperlink>
      <w:r>
        <w:t xml:space="preserve"> </w:t>
      </w:r>
      <w:r>
        <w:t xml:space="preserve">records foreign sponsor participation in 72 of 135 financially closed projects (2019 data), still the most recent national count it has published. Advisers name deterrents no guarantee addresses: counterparty variation between central government, regions, and state-owned enterprises, and the difficulty of enforcing against a government counterparty in local courts.</w:t>
      </w:r>
    </w:p>
    <w:bookmarkEnd w:id="25"/>
    <w:bookmarkStart w:id="27" w:name="X8c3b324177a8ab3c14f692c18507451d49358c5"/>
    <w:p>
      <w:pPr>
        <w:pStyle w:val="Heading2"/>
      </w:pPr>
      <w:r>
        <w:t xml:space="preserve">How to test your own risk matrix before you bid</w:t>
      </w:r>
    </w:p>
    <w:p>
      <w:pPr>
        <w:pStyle w:val="FirstParagraph"/>
      </w:pPr>
      <w:r>
        <w:t xml:space="preserve">Run the matrix through five tests before committing bid costs. The purpose is not to push more risk onto the state, but to confirm that every risk the state accepted is written as an enforceable, payable obligation, and that everything else is priced into your model.</w:t>
      </w:r>
    </w:p>
    <w:p>
      <w:pPr>
        <w:pStyle w:val="Compact"/>
        <w:numPr>
          <w:ilvl w:val="0"/>
          <w:numId w:val="1002"/>
        </w:numPr>
      </w:pPr>
      <w:r>
        <w:rPr>
          <w:b/>
          <w:bCs/>
        </w:rPr>
        <w:t xml:space="preserve">Control test.</w:t>
      </w:r>
      <w:r>
        <w:t xml:space="preserve"> </w:t>
      </w:r>
      <w:r>
        <w:t xml:space="preserve">Does each risk sit with the party that can influence it?</w:t>
      </w:r>
    </w:p>
    <w:p>
      <w:pPr>
        <w:pStyle w:val="Compact"/>
        <w:numPr>
          <w:ilvl w:val="0"/>
          <w:numId w:val="1002"/>
        </w:numPr>
      </w:pPr>
      <w:r>
        <w:rPr>
          <w:b/>
          <w:bCs/>
        </w:rPr>
        <w:t xml:space="preserve">Payability test.</w:t>
      </w:r>
      <w:r>
        <w:t xml:space="preserve"> </w:t>
      </w:r>
      <w:r>
        <w:t xml:space="preserve">Is every government obligation an amount, with a trigger and a deadline?</w:t>
      </w:r>
    </w:p>
    <w:p>
      <w:pPr>
        <w:pStyle w:val="Compact"/>
        <w:numPr>
          <w:ilvl w:val="0"/>
          <w:numId w:val="1002"/>
        </w:numPr>
      </w:pPr>
      <w:r>
        <w:rPr>
          <w:b/>
          <w:bCs/>
        </w:rPr>
        <w:t xml:space="preserve">Termination test.</w:t>
      </w:r>
      <w:r>
        <w:t xml:space="preserve"> </w:t>
      </w:r>
      <w:r>
        <w:t xml:space="preserve">Does the compensation formula repay senior debt in full at the earliest plausible termination date?</w:t>
      </w:r>
    </w:p>
    <w:p>
      <w:pPr>
        <w:pStyle w:val="Compact"/>
        <w:numPr>
          <w:ilvl w:val="0"/>
          <w:numId w:val="1002"/>
        </w:numPr>
      </w:pPr>
      <w:r>
        <w:rPr>
          <w:b/>
          <w:bCs/>
        </w:rPr>
        <w:t xml:space="preserve">Tenor test.</w:t>
      </w:r>
      <w:r>
        <w:t xml:space="preserve"> </w:t>
      </w:r>
      <w:r>
        <w:t xml:space="preserve">Do the guarantee’s cap and term cover the debt, or expire first?</w:t>
      </w:r>
    </w:p>
    <w:p>
      <w:pPr>
        <w:pStyle w:val="Compact"/>
        <w:numPr>
          <w:ilvl w:val="0"/>
          <w:numId w:val="1002"/>
        </w:numPr>
      </w:pPr>
      <w:r>
        <w:rPr>
          <w:b/>
          <w:bCs/>
        </w:rPr>
        <w:t xml:space="preserve">Regulatory-age test.</w:t>
      </w:r>
      <w:r>
        <w:t xml:space="preserve"> </w:t>
      </w:r>
      <w:r>
        <w:t xml:space="preserve">Does anything in the matrix rest on a regulation younger than the concession?</w:t>
      </w:r>
    </w:p>
    <w:p>
      <w:pPr>
        <w:pStyle w:val="FirstParagraph"/>
      </w:pPr>
      <w:r>
        <w:t xml:space="preserve">Not every project justifies the exercise. Small and regional schemes often carry preparation costs out of proportion to their value, which is why</w:t>
      </w:r>
      <w:r>
        <w:t xml:space="preserve"> </w:t>
      </w:r>
      <w:hyperlink r:id="rId26">
        <w:r>
          <w:rPr>
            <w:rStyle w:val="Hyperlink"/>
          </w:rPr>
          <w:t xml:space="preserve">creative financing routes for smaller and subnational projects</w:t>
        </w:r>
      </w:hyperlink>
      <w:r>
        <w:t xml:space="preserve"> </w:t>
      </w:r>
      <w:r>
        <w:t xml:space="preserve">exist alongside full KPBU.</w:t>
      </w:r>
    </w:p>
    <w:bookmarkEnd w:id="27"/>
    <w:bookmarkStart w:id="33" w:name="faq-frequently-asked-questions"/>
    <w:p>
      <w:pPr>
        <w:pStyle w:val="Heading2"/>
      </w:pPr>
      <w:r>
        <w:t xml:space="preserve">FAQ (Frequently Asked Questions)</w:t>
      </w:r>
    </w:p>
    <w:bookmarkStart w:id="28" w:name="X301645cd0105ac7a7a2c13baf8ce708d92f517a"/>
    <w:p>
      <w:pPr>
        <w:pStyle w:val="Heading3"/>
      </w:pPr>
      <w:r>
        <w:t xml:space="preserve">How does a public-private partnership work in Indonesia?</w:t>
      </w:r>
    </w:p>
    <w:p>
      <w:pPr>
        <w:pStyle w:val="FirstParagraph"/>
      </w:pPr>
      <w:r>
        <w:t xml:space="preserve">A government contracting agency (PJPK) signs a long-term contract with a project company (Badan Usaha Pelaksana) to finance, build, and operate public infrastructure under Peraturan Presiden No. 38 Tahun 2015. Each risk is assigned to the party best able to control it, and government-side risk can be covered by a state guarantee.</w:t>
      </w:r>
    </w:p>
    <w:bookmarkEnd w:id="28"/>
    <w:bookmarkStart w:id="29" w:name="is-ppp-the-same-as-kpbu"/>
    <w:p>
      <w:pPr>
        <w:pStyle w:val="Heading3"/>
      </w:pPr>
      <w:r>
        <w:t xml:space="preserve">Is PPP the same as KPBU?</w:t>
      </w:r>
    </w:p>
    <w:p>
      <w:pPr>
        <w:pStyle w:val="FirstParagraph"/>
      </w:pPr>
      <w:r>
        <w:t xml:space="preserve">In substance, yes. KPBU (</w:t>
      </w:r>
      <w:r>
        <w:rPr>
          <w:i/>
          <w:iCs/>
        </w:rPr>
        <w:t xml:space="preserve">Kerja Sama Pemerintah dengan Badan Usaha</w:t>
      </w:r>
      <w:r>
        <w:t xml:space="preserve">) is Indonesia’s legal term for a public private partnership, defined under Perpres 38/2015. The difference is procedural: KPBU carries Indonesian project stages, procurement rules, and risk-allocation guidance that a generic international PPP reference will not include.</w:t>
      </w:r>
    </w:p>
    <w:bookmarkEnd w:id="29"/>
    <w:bookmarkStart w:id="30" w:name="X2fa29f66e2db5b4a73efd9ae8be53394b410ce3"/>
    <w:p>
      <w:pPr>
        <w:pStyle w:val="Heading3"/>
      </w:pPr>
      <w:r>
        <w:t xml:space="preserve">Does a government guarantee cover demand or traffic risk?</w:t>
      </w:r>
    </w:p>
    <w:p>
      <w:pPr>
        <w:pStyle w:val="FirstParagraph"/>
      </w:pPr>
      <w:r>
        <w:t xml:space="preserve">No. Demand, traffic, and volume risk are commercial risk under Indonesia’s framework and stay with the project company and its lenders. The allocation is deliberate, since the sponsor is better placed to forecast market risk than the state. Where revenue certainty is needed, the tool is an availability payment.</w:t>
      </w:r>
    </w:p>
    <w:bookmarkEnd w:id="30"/>
    <w:bookmarkStart w:id="31" w:name="X2410c99d79d30948ffd8917fdb4e4e4b109a6a7"/>
    <w:p>
      <w:pPr>
        <w:pStyle w:val="Heading3"/>
      </w:pPr>
      <w:r>
        <w:t xml:space="preserve">What happens if the government contracting agency terminates the contract early?</w:t>
      </w:r>
    </w:p>
    <w:p>
      <w:pPr>
        <w:pStyle w:val="FirstParagraph"/>
      </w:pPr>
      <w:r>
        <w:t xml:space="preserve">If the PJPK terminates because of its own default, the contract’s termination compensation formula sets what the project company is owed. Where that obligation falls within a guaranteed risk, the guarantee can pay the company or its lenders, and the amount is then recovered through regress.</w:t>
      </w:r>
    </w:p>
    <w:bookmarkEnd w:id="31"/>
    <w:bookmarkStart w:id="32" w:name="X81acb42eee12cbfacc9df04bf36113c1eb66554"/>
    <w:p>
      <w:pPr>
        <w:pStyle w:val="Heading3"/>
      </w:pPr>
      <w:r>
        <w:t xml:space="preserve">Can a foreign company take part in an Indonesian PPP project?</w:t>
      </w:r>
    </w:p>
    <w:p>
      <w:pPr>
        <w:pStyle w:val="FirstParagraph"/>
      </w:pPr>
      <w:r>
        <w:t xml:space="preserve">Yes. Under Indonesia’s investment-list reform in Peraturan Presiden No. 10 Tahun 2021, foreign investors may hold up to 100% ownership in most infrastructure sectors. Ownership rules are rarely the constraint; counterparty risk, rupiah revenue, and enforcement uncertainty weigh more heavily on investment committees.</w:t>
      </w:r>
    </w:p>
    <w:bookmarkEnd w:id="32"/>
    <w:bookmarkEnd w:id="33"/>
    <w:bookmarkStart w:id="34" w:name="conclusion"/>
    <w:p>
      <w:pPr>
        <w:pStyle w:val="Heading2"/>
      </w:pPr>
      <w:r>
        <w:t xml:space="preserve">Conclusion</w:t>
      </w:r>
    </w:p>
    <w:p>
      <w:pPr>
        <w:pStyle w:val="FirstParagraph"/>
      </w:pPr>
      <w:r>
        <w:t xml:space="preserve">Nothing in an Indonesian public private partnership is decided by the guarantee alone. It moves a defined slice of government-side risk into an instrument a lender can price and leaves the rest of the matrix where the contract put it. The work that decides a project’s fate happens earlier, in the allocation itself. As the Ministry of Finance’s Badan Usaha Penjaminan Infrastruktur, PT PII issues government guarantees intended to raise a project’s creditworthiness while ring-fencing the state’s contingent liabilities.</w:t>
      </w:r>
    </w:p>
    <w:p>
      <w:pPr>
        <w:pStyle w:val="BodyText"/>
      </w:pPr>
      <w:r>
        <w:t xml:space="preserve">If rows in your matrix cannot yet be marked with confidence, that conversation is better had before the bid than after.</w:t>
      </w:r>
    </w:p>
    <w:p>
      <w:pPr>
        <w:pStyle w:val="BodyText"/>
      </w:pPr>
      <w:r>
        <w:t xml:space="preserve">How these guarantees are appraised and structured for KPBU projects is set out in more detail at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jdih.kemenkeu.go.id/dok/pmk-68-tahun-2024" TargetMode="External" /><Relationship Type="http://schemas.openxmlformats.org/officeDocument/2006/relationships/hyperlink" Id="rId19" Target="https://ppp.worldbank.org/allocating-risks" TargetMode="External" /><Relationship Type="http://schemas.openxmlformats.org/officeDocument/2006/relationships/hyperlink" Id="rId24" Target="https://pppmonitor.adb.org/country/indonesia/national-ppp-landscape" TargetMode="External" /><Relationship Type="http://schemas.openxmlformats.org/officeDocument/2006/relationships/hyperlink" Id="rId18"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17"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2" Target="https://jdih.kemenkeu.go.id/dok/pmk-68-tahun-2024" TargetMode="External" /><Relationship Type="http://schemas.openxmlformats.org/officeDocument/2006/relationships/hyperlink" Id="rId19" Target="https://ppp.worldbank.org/allocating-risks" TargetMode="External" /><Relationship Type="http://schemas.openxmlformats.org/officeDocument/2006/relationships/hyperlink" Id="rId24" Target="https://pppmonitor.adb.org/country/indonesia/national-ppp-landscape" TargetMode="External" /><Relationship Type="http://schemas.openxmlformats.org/officeDocument/2006/relationships/hyperlink" Id="rId18"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17"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2026-08-12T09:08:31Z</dcterms:created>
  <dcterms:modified xsi:type="dcterms:W3CDTF">2026-08-12T09:08:31Z</dcterms:modified>
</cp:coreProperties>
</file>

<file path=docProps/custom.xml><?xml version="1.0" encoding="utf-8"?>
<Properties xmlns="http://schemas.openxmlformats.org/officeDocument/2006/custom-properties" xmlns:vt="http://schemas.openxmlformats.org/officeDocument/2006/docPropsVTypes"/>
</file>