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Private Partnership Bankability: Reaching Financial Close in Indonesia"</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Getting to Financial Close"</w:t>
      </w:r>
      <w:r>
        <w:br/>
      </w:r>
      <w:r>
        <w:rPr>
          <w:rStyle w:val="FunctionTok"/>
        </w:rPr>
        <w:t xml:space="preserve">meta_description</w:t>
      </w:r>
      <w:r>
        <w:rPr>
          <w:rStyle w:val="KeywordTok"/>
        </w:rPr>
        <w:t xml:space="preserve">:</w:t>
      </w:r>
      <w:r>
        <w:rPr>
          <w:rStyle w:val="AttributeTok"/>
        </w:rPr>
        <w:t xml:space="preserve"> </w:t>
      </w:r>
      <w:r>
        <w:rPr>
          <w:rStyle w:val="StringTok"/>
        </w:rPr>
        <w:t xml:space="preserve">"A lender's view of public private partnership bankability in Indonesia: the road to financial close, a diligence checklist, and the guarantor's 2026 rating."</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"public-private-partnership-financial-close"</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"PPP bankability Indonesia"</w:t>
      </w:r>
      <w:r>
        <w:br/>
      </w:r>
      <w:r>
        <w:rPr>
          <w:rStyle w:val="AttributeTok"/>
        </w:rPr>
        <w:t xml:space="preserve">  </w:t>
      </w:r>
      <w:r>
        <w:rPr>
          <w:rStyle w:val="KeywordTok"/>
        </w:rPr>
        <w:t xml:space="preserve">-</w:t>
      </w:r>
      <w:r>
        <w:rPr>
          <w:rStyle w:val="AttributeTok"/>
        </w:rPr>
        <w:t xml:space="preserve"> </w:t>
      </w:r>
      <w:r>
        <w:rPr>
          <w:rStyle w:val="StringTok"/>
        </w:rPr>
        <w:t xml:space="preserve">"financial close infrastructure project"</w:t>
      </w:r>
      <w:r>
        <w:br/>
      </w:r>
      <w:r>
        <w:rPr>
          <w:rStyle w:val="AttributeTok"/>
        </w:rPr>
        <w:t xml:space="preserve">  </w:t>
      </w:r>
      <w:r>
        <w:rPr>
          <w:rStyle w:val="KeywordTok"/>
        </w:rPr>
        <w:t xml:space="preserve">-</w:t>
      </w:r>
      <w:r>
        <w:rPr>
          <w:rStyle w:val="AttributeTok"/>
        </w:rPr>
        <w:t xml:space="preserve"> </w:t>
      </w:r>
      <w:r>
        <w:rPr>
          <w:rStyle w:val="StringTok"/>
        </w:rPr>
        <w:t xml:space="preserve">"project finance Indonesia"</w:t>
      </w:r>
      <w:r>
        <w:br/>
      </w:r>
      <w:r>
        <w:rPr>
          <w:rStyle w:val="AttributeTok"/>
        </w:rPr>
        <w:t xml:space="preserve">  </w:t>
      </w:r>
      <w:r>
        <w:rPr>
          <w:rStyle w:val="KeywordTok"/>
        </w:rPr>
        <w:t xml:space="preserve">-</w:t>
      </w:r>
      <w:r>
        <w:rPr>
          <w:rStyle w:val="AttributeTok"/>
        </w:rPr>
        <w:t xml:space="preserve"> </w:t>
      </w:r>
      <w:r>
        <w:rPr>
          <w:rStyle w:val="StringTok"/>
        </w:rPr>
        <w:t xml:space="preserve">"lender due diligence PPP"</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"Viability Gap Fund"</w:t>
      </w:r>
      <w:r>
        <w:br/>
      </w:r>
      <w:r>
        <w:rPr>
          <w:rStyle w:val="AttributeTok"/>
        </w:rPr>
        <w:t xml:space="preserve">  </w:t>
      </w:r>
      <w:r>
        <w:rPr>
          <w:rStyle w:val="KeywordTok"/>
        </w:rPr>
        <w:t xml:space="preserve">-</w:t>
      </w:r>
      <w:r>
        <w:rPr>
          <w:rStyle w:val="AttributeTok"/>
        </w:rPr>
        <w:t xml:space="preserve"> </w:t>
      </w:r>
      <w:r>
        <w:rPr>
          <w:rStyle w:val="StringTok"/>
        </w:rPr>
        <w:t xml:space="preserve">"termination compensation"</w:t>
      </w:r>
      <w:r>
        <w:br/>
      </w:r>
      <w:r>
        <w:rPr>
          <w:rStyle w:val="AttributeTok"/>
        </w:rPr>
        <w:t xml:space="preserve">  </w:t>
      </w:r>
      <w:r>
        <w:rPr>
          <w:rStyle w:val="KeywordTok"/>
        </w:rPr>
        <w:t xml:space="preserve">-</w:t>
      </w:r>
      <w:r>
        <w:rPr>
          <w:rStyle w:val="AttributeTok"/>
        </w:rPr>
        <w:t xml:space="preserve"> </w:t>
      </w:r>
      <w:r>
        <w:rPr>
          <w:rStyle w:val="StringTok"/>
        </w:rPr>
        <w:t xml:space="preserve">"step-in rights"</w:t>
      </w:r>
      <w:r>
        <w:br/>
      </w:r>
      <w:r>
        <w:rPr>
          <w:rStyle w:val="AttributeTok"/>
        </w:rPr>
        <w:t xml:space="preserve">  </w:t>
      </w:r>
      <w:r>
        <w:rPr>
          <w:rStyle w:val="KeywordTok"/>
        </w:rPr>
        <w:t xml:space="preserve">-</w:t>
      </w:r>
      <w:r>
        <w:rPr>
          <w:rStyle w:val="AttributeTok"/>
        </w:rPr>
        <w:t xml:space="preserve"> </w:t>
      </w:r>
      <w:r>
        <w:rPr>
          <w:rStyle w:val="StringTok"/>
        </w:rPr>
        <w:t xml:space="preserve">"conditions precedent"</w:t>
      </w:r>
      <w:r>
        <w:br/>
      </w:r>
      <w:r>
        <w:rPr>
          <w:rStyle w:val="AttributeTok"/>
        </w:rPr>
        <w:t xml:space="preserve">  </w:t>
      </w:r>
      <w:r>
        <w:rPr>
          <w:rStyle w:val="KeywordTok"/>
        </w:rPr>
        <w:t xml:space="preserve">-</w:t>
      </w:r>
      <w:r>
        <w:rPr>
          <w:rStyle w:val="AttributeTok"/>
        </w:rPr>
        <w:t xml:space="preserve"> </w:t>
      </w:r>
      <w:r>
        <w:rPr>
          <w:rStyle w:val="StringTok"/>
        </w:rPr>
        <w:t xml:space="preserve">"KPBU"</w:t>
      </w:r>
      <w:r>
        <w:br/>
      </w:r>
      <w:r>
        <w:rPr>
          <w:rStyle w:val="AttributeTok"/>
        </w:rPr>
        <w:t xml:space="preserve">  </w:t>
      </w:r>
      <w:r>
        <w:rPr>
          <w:rStyle w:val="KeywordTok"/>
        </w:rPr>
        <w:t xml:space="preserve">-</w:t>
      </w:r>
      <w:r>
        <w:rPr>
          <w:rStyle w:val="AttributeTok"/>
        </w:rPr>
        <w:t xml:space="preserve"> </w:t>
      </w:r>
      <w:r>
        <w:rPr>
          <w:rStyle w:val="StringTok"/>
        </w:rPr>
        <w:t xml:space="preserve">"Indonesia Infrastructure Guarantee Fund (IIGF)"</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"Indonesia's public private partnership scheme"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"the KPBU framework as Indonesian practitioners set it out"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"creative financing structures"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effective 18 October 2024, consolidates the government guarantee, Viability Gap Fund and availability payment into a single ministerial instrument"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"Perpres 38/2015 as the presidential-level legal basis for KPBU, confirmed in force"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"https://www.petromindo.com/news/article/fitch-affirms-penjaminan-infrastruktur-indonesia-at-bbb-aaa-idn-outlook-stable"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"Fitch Ratings affirmation of 12 February 2026 ('BBB' / 'F2' / 'AAA(idn)', Stable) plus equity, capacity and gearing figures"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"https://pppmonitor.adb.org/country/indonesia/national-ppp-landscape"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"2019-vintage data on Indonesian projects reaching financial close and foreign sponsor participation"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"https://ekon.go.id/publikasi/detail/2202/spam-umbulan-capai-financial-close-dalam-6-bulan"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"SPAM Umbulan reaching financial close on 30 December 2016, six months ahead of target, at IDR 4.51 trillion"</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1775</w:t>
      </w:r>
    </w:p>
    <w:p>
      <w:r>
        <w:pict>
          <v:rect style="width:0;height:1.5pt" o:hralign="center" o:hrstd="t" o:hr="t"/>
        </w:pict>
      </w:r>
    </w:p>
    <w:bookmarkEnd w:id="16"/>
    <w:bookmarkStart w:id="34" w:name="X75e0d03d9505addf567e2fb079b9a1c52c04487"/>
    <w:p>
      <w:pPr>
        <w:pStyle w:val="Heading1"/>
      </w:pPr>
      <w:r>
        <w:t xml:space="preserve">Public Private Partnership Bankability: Reaching Financial Close in Indonesia</w:t>
      </w:r>
    </w:p>
    <w:p>
      <w:pPr>
        <w:pStyle w:val="FirstParagraph"/>
      </w:pPr>
      <w:r>
        <w:t xml:space="preserve">The signing ceremony is the easy part. By market convention an Indonesian public private partnership then has about twelve months to reach financial close, and much of that year goes on questions nobody wrote down at tender: whose obligation is the availability payment, what happens to senior debt if the contracting agency defaults, and why the revenue is denominated in rupiah when the loan is not. What follows works through</w:t>
      </w:r>
      <w:r>
        <w:t xml:space="preserve"> </w:t>
      </w:r>
      <w:hyperlink r:id="rId17">
        <w:r>
          <w:rPr>
            <w:rStyle w:val="Hyperlink"/>
          </w:rPr>
          <w:t xml:space="preserve">Indonesia’s public private partnership scheme</w:t>
        </w:r>
      </w:hyperlink>
      <w:r>
        <w:t xml:space="preserve"> </w:t>
      </w:r>
      <w:r>
        <w:t xml:space="preserve">from the lender’s chair: the sequence to close, the diligence a credit committee runs, and how to assess the party writing the government guarantee.</w:t>
      </w:r>
    </w:p>
    <w:p>
      <w:pPr>
        <w:pStyle w:val="BlockText"/>
      </w:pPr>
      <w:r>
        <w:rPr>
          <w:b/>
          <w:bCs/>
        </w:rPr>
        <w:t xml:space="preserve">In brief:</w:t>
      </w:r>
      <w:r>
        <w:t xml:space="preserve"> </w:t>
      </w:r>
      <w:r>
        <w:t xml:space="preserve">Bankability in a public private partnership means lenders judge the project’s contracted cash flow, risk allocation and counterparty standing strong enough to support project-finance debt. In Indonesia’s PPP scheme, known domestically as KPBU (</w:t>
      </w:r>
      <w:r>
        <w:rPr>
          <w:i/>
          <w:iCs/>
        </w:rPr>
        <w:t xml:space="preserve">Kerja Sama Pemerintah dengan Badan Usaha</w:t>
      </w:r>
      <w:r>
        <w:t xml:space="preserve">), bankability turns on the revenue mechanism, the termination compensation formula, and who stands behind the government’s own contractual obligations.</w:t>
      </w:r>
    </w:p>
    <w:bookmarkStart w:id="22" w:name="Xfa7481420a6c9f9e2ab4dbdf5fb14d46ea10878"/>
    <w:p>
      <w:pPr>
        <w:pStyle w:val="Heading2"/>
      </w:pPr>
      <w:r>
        <w:t xml:space="preserve">What makes a public private partnership bankable?</w:t>
      </w:r>
    </w:p>
    <w:p>
      <w:pPr>
        <w:pStyle w:val="FirstParagraph"/>
      </w:pPr>
      <w:r>
        <w:t xml:space="preserve">A public private partnership is bankable when three conditions hold at once: contracted cash flow predictable enough to size debt against, a risk allocation that puts each risk with the party able to manage it, and a counterparty good for the government-side obligations. Weakness in any one is not offset by strength in the other two.</w:t>
      </w:r>
    </w:p>
    <w:p>
      <w:pPr>
        <w:pStyle w:val="BodyText"/>
      </w:pPr>
      <w:r>
        <w:t xml:space="preserve">Indonesia’s version is KPBU, governed by</w:t>
      </w:r>
      <w:r>
        <w:t xml:space="preserve"> </w:t>
      </w:r>
      <w:hyperlink r:id="rId18">
        <w:r>
          <w:rPr>
            <w:rStyle w:val="Hyperlink"/>
          </w:rPr>
          <w:t xml:space="preserve">Perpres 38/2015</w:t>
        </w:r>
      </w:hyperlink>
      <w:r>
        <w:t xml:space="preserve">, still in force. A contracting agency, the PJPK (</w:t>
      </w:r>
      <w:r>
        <w:rPr>
          <w:i/>
          <w:iCs/>
        </w:rPr>
        <w:t xml:space="preserve">Penanggung Jawab Proyek Kerja Sama</w:t>
      </w:r>
      <w:r>
        <w:t xml:space="preserve">), engages a business entity to build and operate an asset, repaid through user charges, an availability payment, or both. Domestic documents follow</w:t>
      </w:r>
      <w:r>
        <w:t xml:space="preserve"> </w:t>
      </w:r>
      <w:hyperlink r:id="rId19">
        <w:r>
          <w:rPr>
            <w:rStyle w:val="Hyperlink"/>
          </w:rPr>
          <w:t xml:space="preserve">the KPBU framework as Indonesian practitioners set it out</w:t>
        </w:r>
      </w:hyperlink>
      <w:r>
        <w:t xml:space="preserve">, not the English vocabulary.</w:t>
      </w:r>
    </w:p>
    <w:p>
      <w:pPr>
        <w:pStyle w:val="BodyText"/>
      </w:pPr>
      <w:r>
        <w:t xml:space="preserve">One distinction the market still blurs matters early. Government Support (</w:t>
      </w:r>
      <w:r>
        <w:rPr>
          <w:i/>
          <w:iCs/>
        </w:rPr>
        <w:t xml:space="preserve">Dukungan Pemerintah</w:t>
      </w:r>
      <w:r>
        <w:t xml:space="preserve">) puts money in: the Viability Gap Fund tops up user-charge projects whose tariffs cannot carry construction cost. A Government Guarantee (</w:t>
      </w:r>
      <w:r>
        <w:rPr>
          <w:i/>
          <w:iCs/>
        </w:rPr>
        <w:t xml:space="preserve">Penjaminan Pemerintah</w:t>
      </w:r>
      <w:r>
        <w:t xml:space="preserve">) puts nothing in unless something goes wrong, covering defined government-side risks under the contract. Since 18 October 2024 both sit inside one consolidated regulation,</w:t>
      </w:r>
      <w:r>
        <w:t xml:space="preserve"> </w:t>
      </w:r>
      <w:hyperlink r:id="rId20">
        <w:r>
          <w:rPr>
            <w:rStyle w:val="Hyperlink"/>
          </w:rPr>
          <w:t xml:space="preserve">PMK 68/2024</w:t>
        </w:r>
      </w:hyperlink>
      <w:r>
        <w:t xml:space="preserve">.</w:t>
      </w:r>
    </w:p>
    <w:p>
      <w:pPr>
        <w:pStyle w:val="BodyText"/>
      </w:pPr>
      <w:r>
        <w:t xml:space="preserve">Treat them as interchangeable and the debt is sized wrong.</w:t>
      </w:r>
    </w:p>
    <w:p>
      <w:pPr>
        <w:pStyle w:val="BodyText"/>
      </w:pPr>
      <w:r>
        <w:t xml:space="preserve">Not every scheme carries a full project-finance package. Smaller and subnational projects are more often assembled through</w:t>
      </w:r>
      <w:r>
        <w:t xml:space="preserve"> </w:t>
      </w:r>
      <w:hyperlink r:id="rId21">
        <w:r>
          <w:rPr>
            <w:rStyle w:val="Hyperlink"/>
          </w:rPr>
          <w:t xml:space="preserve">creative financing structures</w:t>
        </w:r>
      </w:hyperlink>
      <w:r>
        <w:t xml:space="preserve">, where the same three tests apply at smaller scale.</w:t>
      </w:r>
    </w:p>
    <w:bookmarkEnd w:id="22"/>
    <w:bookmarkStart w:id="23" w:name="Xdf64d044fdeb1969e986a1474d1f4f43abd8689"/>
    <w:p>
      <w:pPr>
        <w:pStyle w:val="Heading2"/>
      </w:pPr>
      <w:r>
        <w:t xml:space="preserve">From signed agreement to financial close: the sequence and the clock</w:t>
      </w:r>
    </w:p>
    <w:p>
      <w:pPr>
        <w:pStyle w:val="FirstParagraph"/>
      </w:pPr>
      <w:r>
        <w:t xml:space="preserve">Financial close is the point at which financing documentation becomes unconditional and the borrower can draw. Practitioner guidance published in 2022 puts the working deadline at twelve months from signing the KPBU agreement, extendable by six months where the delay is not the business entity’s fault. Treat it as market practice, not statute.</w:t>
      </w:r>
    </w:p>
    <w:p>
      <w:pPr>
        <w:pStyle w:val="Compact"/>
        <w:numPr>
          <w:ilvl w:val="0"/>
          <w:numId w:val="1001"/>
        </w:numPr>
      </w:pPr>
      <w:r>
        <w:rPr>
          <w:b/>
          <w:bCs/>
        </w:rPr>
        <w:t xml:space="preserve">Agreement signing.</w:t>
      </w:r>
      <w:r>
        <w:t xml:space="preserve"> </w:t>
      </w:r>
      <w:r>
        <w:t xml:space="preserve">The PJPK and the business entity execute the KPBU agreement; the clock starts.</w:t>
      </w:r>
    </w:p>
    <w:p>
      <w:pPr>
        <w:pStyle w:val="Compact"/>
        <w:numPr>
          <w:ilvl w:val="0"/>
          <w:numId w:val="1001"/>
        </w:numPr>
      </w:pPr>
      <w:r>
        <w:rPr>
          <w:b/>
          <w:bCs/>
        </w:rPr>
        <w:t xml:space="preserve">Conditions precedent.</w:t>
      </w:r>
      <w:r>
        <w:t xml:space="preserve"> </w:t>
      </w:r>
      <w:r>
        <w:t xml:space="preserve">Land and right-of-way status, permits, corporate approvals and government-support documentation are cleared.</w:t>
      </w:r>
    </w:p>
    <w:p>
      <w:pPr>
        <w:pStyle w:val="Compact"/>
        <w:numPr>
          <w:ilvl w:val="0"/>
          <w:numId w:val="1001"/>
        </w:numPr>
      </w:pPr>
      <w:r>
        <w:rPr>
          <w:b/>
          <w:bCs/>
        </w:rPr>
        <w:t xml:space="preserve">Security package.</w:t>
      </w:r>
      <w:r>
        <w:t xml:space="preserve"> </w:t>
      </w:r>
      <w:r>
        <w:t xml:space="preserve">Share and account pledges, assignment of project agreements and insurance, perfected under Indonesian law.</w:t>
      </w:r>
    </w:p>
    <w:p>
      <w:pPr>
        <w:pStyle w:val="Compact"/>
        <w:numPr>
          <w:ilvl w:val="0"/>
          <w:numId w:val="1001"/>
        </w:numPr>
      </w:pPr>
      <w:r>
        <w:rPr>
          <w:b/>
          <w:bCs/>
        </w:rPr>
        <w:t xml:space="preserve">Guarantee and regress documentation.</w:t>
      </w:r>
      <w:r>
        <w:t xml:space="preserve"> </w:t>
      </w:r>
      <w:r>
        <w:t xml:space="preserve">The guarantor signs a guarantee agreement with the business entity and a regress agreement with the government.</w:t>
      </w:r>
    </w:p>
    <w:p>
      <w:pPr>
        <w:pStyle w:val="Compact"/>
        <w:numPr>
          <w:ilvl w:val="0"/>
          <w:numId w:val="1001"/>
        </w:numPr>
      </w:pPr>
      <w:r>
        <w:rPr>
          <w:b/>
          <w:bCs/>
        </w:rPr>
        <w:t xml:space="preserve">Lender approvals.</w:t>
      </w:r>
      <w:r>
        <w:t xml:space="preserve"> </w:t>
      </w:r>
      <w:r>
        <w:t xml:space="preserve">Credit committees clear the file; facility, intercreditor and direct agreements are finalised.</w:t>
      </w:r>
    </w:p>
    <w:p>
      <w:pPr>
        <w:pStyle w:val="Compact"/>
        <w:numPr>
          <w:ilvl w:val="0"/>
          <w:numId w:val="1001"/>
        </w:numPr>
      </w:pPr>
      <w:r>
        <w:rPr>
          <w:b/>
          <w:bCs/>
        </w:rPr>
        <w:t xml:space="preserve">Financial close.</w:t>
      </w:r>
      <w:r>
        <w:t xml:space="preserve"> </w:t>
      </w:r>
      <w:r>
        <w:t xml:space="preserve">Financing documentation becomes unconditional.</w:t>
      </w:r>
    </w:p>
    <w:p>
      <w:pPr>
        <w:pStyle w:val="Compact"/>
        <w:numPr>
          <w:ilvl w:val="0"/>
          <w:numId w:val="1001"/>
        </w:numPr>
      </w:pPr>
      <w:r>
        <w:rPr>
          <w:b/>
          <w:bCs/>
        </w:rPr>
        <w:t xml:space="preserve">First disbursement.</w:t>
      </w:r>
      <w:r>
        <w:t xml:space="preserve"> </w:t>
      </w:r>
      <w:r>
        <w:t xml:space="preserve">Drawdown begins and construction starts.</w:t>
      </w:r>
    </w:p>
    <w:p>
      <w:pPr>
        <w:pStyle w:val="FirstParagraph"/>
      </w:pPr>
      <w:r>
        <w:t xml:space="preserve">Delay rarely originates in the last two steps. It sits in step two, where land availability and unresolved conditions precedent stall projects for quarters. The guarantee step moves comparatively fast once the structure is agreed: guarantee and regress agreements for the Bogor–Serpong toll road were signed on 3 October 2025, for a scheme valued at IDR 12.351 trillion.</w:t>
      </w:r>
    </w:p>
    <w:p>
      <w:pPr>
        <w:pStyle w:val="BodyText"/>
      </w:pPr>
      <w:r>
        <w:t xml:space="preserve">The clock is not always the binding constraint. SPAM Umbulan, an IDR 4.51 trillion water-supply KPBU, reached financial close on 30 December 2016, six months ahead of its original target (Coordinating Ministry for Economic Affairs).</w:t>
      </w:r>
    </w:p>
    <w:bookmarkEnd w:id="23"/>
    <w:bookmarkStart w:id="24" w:name="Xd416b91428f8f001878c89c2cf05cbb9033daeb"/>
    <w:p>
      <w:pPr>
        <w:pStyle w:val="Heading2"/>
      </w:pPr>
      <w:r>
        <w:t xml:space="preserve">What a lender diligences on an Indonesian PPP</w:t>
      </w:r>
    </w:p>
    <w:p>
      <w:pPr>
        <w:pStyle w:val="FirstParagraph"/>
      </w:pPr>
      <w:r>
        <w:t xml:space="preserve">Diligence on an Indonesian PPP concentrates on the revenue mechanism, the payment obligor’s standing, the termination compensation formula, step-in rights, security and its perfection, the currency match, and the guarantee’s cap and tenor. Committees usually stall on the third or fourth, not the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Diligence item</w:t>
            </w:r>
          </w:p>
        </w:tc>
        <w:tc>
          <w:tcPr/>
          <w:p>
            <w:pPr>
              <w:pStyle w:val="Compact"/>
            </w:pPr>
            <w:r>
              <w:t xml:space="preserve">What the lender tests</w:t>
            </w:r>
          </w:p>
        </w:tc>
        <w:tc>
          <w:tcPr/>
          <w:p>
            <w:pPr>
              <w:pStyle w:val="Compact"/>
            </w:pPr>
            <w:r>
              <w:t xml:space="preserve">Where it usually breaks</w:t>
            </w:r>
          </w:p>
        </w:tc>
      </w:tr>
      <w:tr>
        <w:tc>
          <w:tcPr/>
          <w:p>
            <w:pPr>
              <w:pStyle w:val="Compact"/>
            </w:pPr>
            <w:r>
              <w:t xml:space="preserve">Revenue mechanism</w:t>
            </w:r>
          </w:p>
        </w:tc>
        <w:tc>
          <w:tcPr/>
          <w:p>
            <w:pPr>
              <w:pStyle w:val="Compact"/>
            </w:pPr>
            <w:r>
              <w:t xml:space="preserve">User-charge demand risk against contracted availability payment</w:t>
            </w:r>
          </w:p>
        </w:tc>
        <w:tc>
          <w:tcPr/>
          <w:p>
            <w:pPr>
              <w:pStyle w:val="Compact"/>
            </w:pPr>
            <w:r>
              <w:t xml:space="preserve">Demand assumptions on user-charge projects</w:t>
            </w:r>
          </w:p>
        </w:tc>
      </w:tr>
      <w:tr>
        <w:tc>
          <w:tcPr/>
          <w:p>
            <w:pPr>
              <w:pStyle w:val="Compact"/>
            </w:pPr>
            <w:r>
              <w:t xml:space="preserve">Payment obligor</w:t>
            </w:r>
          </w:p>
        </w:tc>
        <w:tc>
          <w:tcPr/>
          <w:p>
            <w:pPr>
              <w:pStyle w:val="Compact"/>
            </w:pPr>
            <w:r>
              <w:t xml:space="preserve">Central government, region, SOE or regional-owned company</w:t>
            </w:r>
          </w:p>
        </w:tc>
        <w:tc>
          <w:tcPr/>
          <w:p>
            <w:pPr>
              <w:pStyle w:val="Compact"/>
            </w:pPr>
            <w:r>
              <w:t xml:space="preserve">Regional and SOE obligors price differently</w:t>
            </w:r>
          </w:p>
        </w:tc>
      </w:tr>
      <w:tr>
        <w:tc>
          <w:tcPr/>
          <w:p>
            <w:pPr>
              <w:pStyle w:val="Compact"/>
            </w:pPr>
            <w:r>
              <w:t xml:space="preserve">Termination compensation</w:t>
            </w:r>
          </w:p>
        </w:tc>
        <w:tc>
          <w:tcPr/>
          <w:p>
            <w:pPr>
              <w:pStyle w:val="Compact"/>
            </w:pPr>
            <w:r>
              <w:t xml:space="preserve">Whether termination payment repays senior debt</w:t>
            </w:r>
          </w:p>
        </w:tc>
        <w:tc>
          <w:tcPr/>
          <w:p>
            <w:pPr>
              <w:pStyle w:val="Compact"/>
            </w:pPr>
            <w:r>
              <w:t xml:space="preserve">Deductions, valuation basis, timing</w:t>
            </w:r>
          </w:p>
        </w:tc>
      </w:tr>
      <w:tr>
        <w:tc>
          <w:tcPr/>
          <w:p>
            <w:pPr>
              <w:pStyle w:val="Compact"/>
            </w:pPr>
            <w:r>
              <w:t xml:space="preserve">Step-in and direct agreement</w:t>
            </w:r>
          </w:p>
        </w:tc>
        <w:tc>
          <w:tcPr/>
          <w:p>
            <w:pPr>
              <w:pStyle w:val="Compact"/>
            </w:pPr>
            <w:r>
              <w:t xml:space="preserve">Whether lenders can intervene in a distressed project</w:t>
            </w:r>
          </w:p>
        </w:tc>
        <w:tc>
          <w:tcPr/>
          <w:p>
            <w:pPr>
              <w:pStyle w:val="Compact"/>
            </w:pPr>
            <w:r>
              <w:t xml:space="preserve">Contractual, not a statutory default</w:t>
            </w:r>
          </w:p>
        </w:tc>
      </w:tr>
      <w:tr>
        <w:tc>
          <w:tcPr/>
          <w:p>
            <w:pPr>
              <w:pStyle w:val="Compact"/>
            </w:pPr>
            <w:r>
              <w:t xml:space="preserve">Security and perfection</w:t>
            </w:r>
          </w:p>
        </w:tc>
        <w:tc>
          <w:tcPr/>
          <w:p>
            <w:pPr>
              <w:pStyle w:val="Compact"/>
            </w:pPr>
            <w:r>
              <w:t xml:space="preserve">Enforceability of pledges and assignments under Indonesian law</w:t>
            </w:r>
          </w:p>
        </w:tc>
        <w:tc>
          <w:tcPr/>
          <w:p>
            <w:pPr>
              <w:pStyle w:val="Compact"/>
            </w:pPr>
            <w:r>
              <w:t xml:space="preserve">Perfection mechanics; enforcement against government</w:t>
            </w:r>
          </w:p>
        </w:tc>
      </w:tr>
      <w:tr>
        <w:tc>
          <w:tcPr/>
          <w:p>
            <w:pPr>
              <w:pStyle w:val="Compact"/>
            </w:pPr>
            <w:r>
              <w:t xml:space="preserve">Currency match</w:t>
            </w:r>
          </w:p>
        </w:tc>
        <w:tc>
          <w:tcPr/>
          <w:p>
            <w:pPr>
              <w:pStyle w:val="Compact"/>
            </w:pPr>
            <w:r>
              <w:t xml:space="preserve">Rupiah revenue against hard-currency debt service</w:t>
            </w:r>
          </w:p>
        </w:tc>
        <w:tc>
          <w:tcPr/>
          <w:p>
            <w:pPr>
              <w:pStyle w:val="Compact"/>
            </w:pPr>
            <w:r>
              <w:t xml:space="preserve">Rupiah cannot be transferred offshore by local banks</w:t>
            </w:r>
          </w:p>
        </w:tc>
      </w:tr>
      <w:tr>
        <w:tc>
          <w:tcPr/>
          <w:p>
            <w:pPr>
              <w:pStyle w:val="Compact"/>
            </w:pPr>
            <w:r>
              <w:t xml:space="preserve">Guarantee cap and tenor</w:t>
            </w:r>
          </w:p>
        </w:tc>
        <w:tc>
          <w:tcPr/>
          <w:p>
            <w:pPr>
              <w:pStyle w:val="Compact"/>
            </w:pPr>
            <w:r>
              <w:t xml:space="preserve">Coverage, ceiling and duration against debt tenor</w:t>
            </w:r>
          </w:p>
        </w:tc>
        <w:tc>
          <w:tcPr/>
          <w:p>
            <w:pPr>
              <w:pStyle w:val="Compact"/>
            </w:pPr>
            <w:r>
              <w:t xml:space="preserve">Exposure above the cap is uncovered; indicative tenor around 15 years (practitioner sourcing, 2022)</w:t>
            </w:r>
          </w:p>
        </w:tc>
      </w:tr>
    </w:tbl>
    <w:p>
      <w:pPr>
        <w:pStyle w:val="BodyText"/>
      </w:pPr>
      <w:r>
        <w:t xml:space="preserve">Step-in is not established by standalone Indonesian statute; it is negotiated in the KPBU agreement and a lender direct agreement, project by project.</w:t>
      </w:r>
    </w:p>
    <w:p>
      <w:pPr>
        <w:pStyle w:val="BodyText"/>
      </w:pPr>
      <w:r>
        <w:t xml:space="preserve">Convertibility is generally open, but rupiah cannot leave Indonesia through local banks, which makes the currency question structural rather than a hedging cost.</w:t>
      </w:r>
    </w:p>
    <w:bookmarkEnd w:id="24"/>
    <w:bookmarkStart w:id="25" w:name="X86ad7ee09af80424f5355d5a0198254b28fdd1c"/>
    <w:p>
      <w:pPr>
        <w:pStyle w:val="Heading2"/>
      </w:pPr>
      <w:r>
        <w:t xml:space="preserve">Who actually stands behind the government’s obligations?</w:t>
      </w:r>
    </w:p>
    <w:p>
      <w:pPr>
        <w:pStyle w:val="FirstParagraph"/>
      </w:pPr>
      <w:r>
        <w:t xml:space="preserve">A guarantee is worth the standing of whoever wrote it. In Indonesia the government guarantee on KPBU projects is issued by a Badan Usaha Penjaminan Infrastruktur (BUPI), a state-owned guarantee company under the Ministry of Finance, and that company carries its own published rating. A lender can assess the guarantor directly rather than take the cover on faith.</w:t>
      </w:r>
    </w:p>
    <w:p>
      <w:pPr>
        <w:pStyle w:val="BodyText"/>
      </w:pPr>
      <w:r>
        <w:t xml:space="preserve">That entity is PT Penjaminan Infrastruktur Indonesia (Persero), internationally known as the Indonesia Infrastructure Guarantee Fund (IIGF), mandated to guarantee government-side risk on Indonesian KPBU projects. On 12 February 2026 Fitch Ratings affirmed it at</w:t>
      </w:r>
      <w:r>
        <w:t xml:space="preserve"> </w:t>
      </w:r>
      <w:r>
        <w:t xml:space="preserve">‘BBB’</w:t>
      </w:r>
      <w:r>
        <w:t xml:space="preserve"> </w:t>
      </w:r>
      <w:r>
        <w:t xml:space="preserve">long-term foreign- and local-currency issuer default rating,</w:t>
      </w:r>
      <w:r>
        <w:t xml:space="preserve"> </w:t>
      </w:r>
      <w:r>
        <w:t xml:space="preserve">‘F2’</w:t>
      </w:r>
      <w:r>
        <w:t xml:space="preserve"> </w:t>
      </w:r>
      <w:r>
        <w:t xml:space="preserve">short-term and</w:t>
      </w:r>
      <w:r>
        <w:t xml:space="preserve"> </w:t>
      </w:r>
      <w:r>
        <w:t xml:space="preserve">‘AAA(idn)’</w:t>
      </w:r>
      <w:r>
        <w:t xml:space="preserve"> </w:t>
      </w:r>
      <w:r>
        <w:t xml:space="preserve">nationally, Outlook Stable.</w:t>
      </w:r>
    </w:p>
    <w:p>
      <w:pPr>
        <w:pStyle w:val="BodyText"/>
      </w:pPr>
      <w:r>
        <w:t xml:space="preserve">Read the reasoning, not the letters.</w:t>
      </w:r>
    </w:p>
    <w:p>
      <w:pPr>
        <w:pStyle w:val="BodyText"/>
      </w:pPr>
      <w:r>
        <w:t xml:space="preserve">Fitch treats the company as a government-related entity, scoring support at 45 of a possible 60 and assessing extraordinary sovereign support as</w:t>
      </w:r>
      <w:r>
        <w:t xml:space="preserve"> </w:t>
      </w:r>
      <w:r>
        <w:t xml:space="preserve">“Virtually Certain”</w:t>
      </w:r>
      <w:r>
        <w:t xml:space="preserve">. The rating is credit-linked to Indonesia’s sovereign, not a standalone financial-strength opinion.</w:t>
      </w:r>
    </w:p>
    <w:p>
      <w:pPr>
        <w:pStyle w:val="BodyText"/>
      </w:pPr>
      <w:r>
        <w:t xml:space="preserve">Capacity matters as much as the grade. At end-2025 equity of IDR 16.0 trillion supported maximum guarantee capacity of IDR 191.6 trillion, with gearing at 6.5x against 6.1x a year earlier and a 12x ceiling (Fitch Ratings, 12 February 2026). The guaranteed portfolio stood at 61 projects, 38 of them KPBU, worth more than IDR 732 trillion as at June 2026.</w:t>
      </w:r>
    </w:p>
    <w:p>
      <w:pPr>
        <w:pStyle w:val="BodyText"/>
      </w:pPr>
      <w:r>
        <w:t xml:space="preserve">One caveat for the file: capacity figures attributed to management elsewhere in 2026 differ from the Fitch set, and cooperation with multilateral insurers to widen capacity was described in March 2026 as being explored, not concluded.</w:t>
      </w:r>
    </w:p>
    <w:bookmarkEnd w:id="25"/>
    <w:bookmarkStart w:id="26" w:name="X4b4001df6def324a95dd4419cc087dda7187a43"/>
    <w:p>
      <w:pPr>
        <w:pStyle w:val="Heading2"/>
      </w:pPr>
      <w:r>
        <w:t xml:space="preserve">Why a guarantee will not rescue a weak project</w:t>
      </w:r>
    </w:p>
    <w:p>
      <w:pPr>
        <w:pStyle w:val="FirstParagraph"/>
      </w:pPr>
      <w:r>
        <w:t xml:space="preserve">A government guarantee reaches only the government’s own obligations under the contract. It does not create demand, cap construction cost overruns, or repair a termination formula drafted to leave senior debt short. It is not a subsidy and it does not remove the business entity’s commercial risk. Bankability is a property of the whole package.</w:t>
      </w:r>
    </w:p>
    <w:p>
      <w:pPr>
        <w:pStyle w:val="BodyText"/>
      </w:pPr>
      <w:r>
        <w:t xml:space="preserve">Foreign capital is not absent. ADB’s PPP Monitor recorded 135 projects reaching financial close worth USD 63,464 million, 72 of them with foreign sponsor participation, on 2019-vintage data. But sponsor equity and offshore senior debt are different questions, and what holds the debt back is structural rather than a shortage of guarantees:</w:t>
      </w:r>
    </w:p>
    <w:p>
      <w:pPr>
        <w:pStyle w:val="Compact"/>
        <w:numPr>
          <w:ilvl w:val="0"/>
          <w:numId w:val="1002"/>
        </w:numPr>
      </w:pPr>
      <w:r>
        <w:rPr>
          <w:b/>
          <w:bCs/>
        </w:rPr>
        <w:t xml:space="preserve">Currency.</w:t>
      </w:r>
      <w:r>
        <w:t xml:space="preserve"> </w:t>
      </w:r>
      <w:r>
        <w:t xml:space="preserve">Revenue is contracted in rupiah while offshore debt service is not.</w:t>
      </w:r>
    </w:p>
    <w:p>
      <w:pPr>
        <w:pStyle w:val="Compact"/>
        <w:numPr>
          <w:ilvl w:val="0"/>
          <w:numId w:val="1002"/>
        </w:numPr>
      </w:pPr>
      <w:r>
        <w:rPr>
          <w:b/>
          <w:bCs/>
        </w:rPr>
        <w:t xml:space="preserve">Enforcement.</w:t>
      </w:r>
      <w:r>
        <w:t xml:space="preserve"> </w:t>
      </w:r>
      <w:r>
        <w:t xml:space="preserve">Disputes against a government counterparty rely on local courts unless the contract provides otherwise.</w:t>
      </w:r>
    </w:p>
    <w:p>
      <w:pPr>
        <w:pStyle w:val="Compact"/>
        <w:numPr>
          <w:ilvl w:val="0"/>
          <w:numId w:val="1002"/>
        </w:numPr>
      </w:pPr>
      <w:r>
        <w:rPr>
          <w:b/>
          <w:bCs/>
        </w:rPr>
        <w:t xml:space="preserve">Regulatory tenor.</w:t>
      </w:r>
      <w:r>
        <w:t xml:space="preserve"> </w:t>
      </w:r>
      <w:r>
        <w:t xml:space="preserve">Sector rules rarely hold still across a 25 to 30 year concession.</w:t>
      </w:r>
    </w:p>
    <w:p>
      <w:pPr>
        <w:pStyle w:val="FirstParagraph"/>
      </w:pPr>
      <w:r>
        <w:t xml:space="preserve">Regress is the other half of the design that outsiders misread. After paying a valid claim the guarantor may seek reimbursement from the government party responsible. That reallocates the fiscal burden after payment; it does not delay payment to the beneficiary, and it is why the guarantee is never free money to the contracting agency.</w:t>
      </w:r>
    </w:p>
    <w:bookmarkEnd w:id="26"/>
    <w:bookmarkStart w:id="32" w:name="faq-frequently-asked-questions"/>
    <w:p>
      <w:pPr>
        <w:pStyle w:val="Heading2"/>
      </w:pPr>
      <w:r>
        <w:t xml:space="preserve">FAQ (Frequently Asked Questions)</w:t>
      </w:r>
    </w:p>
    <w:bookmarkStart w:id="27" w:name="Xbeb12292ff21e13863eec538d8a183e2e7abd52"/>
    <w:p>
      <w:pPr>
        <w:pStyle w:val="Heading3"/>
      </w:pPr>
      <w:r>
        <w:t xml:space="preserve">How long does it take to reach financial close on an Indonesian PPP project?</w:t>
      </w:r>
    </w:p>
    <w:p>
      <w:pPr>
        <w:pStyle w:val="FirstParagraph"/>
      </w:pPr>
      <w:r>
        <w:t xml:space="preserve">Practitioner guidance published in 2022 describes a working deadline of twelve months from signing the KPBU agreement, with a six-month extension where the delay is not the business entity’s fault, after which the contracting agency may terminate. Treat that as market practice, not statute. Outcomes vary: SPAM Umbulan closed on 30 December 2016, six months ahead of its own target.</w:t>
      </w:r>
    </w:p>
    <w:bookmarkEnd w:id="27"/>
    <w:bookmarkStart w:id="28" w:name="Xce9877283877fef7d7ac988b3c83de11811f04c"/>
    <w:p>
      <w:pPr>
        <w:pStyle w:val="Heading3"/>
      </w:pPr>
      <w:r>
        <w:t xml:space="preserve">What is the difference between government support and a government guarantee in Indonesia?</w:t>
      </w:r>
    </w:p>
    <w:p>
      <w:pPr>
        <w:pStyle w:val="FirstParagraph"/>
      </w:pPr>
      <w:r>
        <w:t xml:space="preserve">Government support (</w:t>
      </w:r>
      <w:r>
        <w:rPr>
          <w:i/>
          <w:iCs/>
        </w:rPr>
        <w:t xml:space="preserve">Dukungan Pemerintah</w:t>
      </w:r>
      <w:r>
        <w:t xml:space="preserve">) contributes cash or a payment stream, through the Viability Gap Fund, availability payments and project-development facilities. A government guarantee (</w:t>
      </w:r>
      <w:r>
        <w:rPr>
          <w:i/>
          <w:iCs/>
        </w:rPr>
        <w:t xml:space="preserve">Penjaminan Pemerintah</w:t>
      </w:r>
      <w:r>
        <w:t xml:space="preserve">) contributes nothing unless a covered government-side risk materialises, such as termination on contracting-agency default. Since 18 October 2024 both sit under PMK 68/2024.</w:t>
      </w:r>
    </w:p>
    <w:bookmarkEnd w:id="28"/>
    <w:bookmarkStart w:id="29" w:name="X7a8888ea1b9163286a4a5d7c8e9ff1625a690f5"/>
    <w:p>
      <w:pPr>
        <w:pStyle w:val="Heading3"/>
      </w:pPr>
      <w:r>
        <w:t xml:space="preserve">Does the Viability Gap Fund apply to availability-payment projects?</w:t>
      </w:r>
    </w:p>
    <w:p>
      <w:pPr>
        <w:pStyle w:val="FirstParagraph"/>
      </w:pPr>
      <w:r>
        <w:t xml:space="preserve">No. The Viability Gap Fund (</w:t>
      </w:r>
      <w:r>
        <w:rPr>
          <w:i/>
          <w:iCs/>
        </w:rPr>
        <w:t xml:space="preserve">Dukungan Kelayakan</w:t>
      </w:r>
      <w:r>
        <w:t xml:space="preserve">) is built for user-charge projects whose tariff revenue cannot carry construction cost. Availability-payment projects are compensated through the contracted periodic payment itself, which lenders size debt against directly. A 49% ceiling was reported under a regulation superseded in 2024, so confirm the current cap.</w:t>
      </w:r>
    </w:p>
    <w:bookmarkEnd w:id="29"/>
    <w:bookmarkStart w:id="30" w:name="Xa892ab221201b9fd8b3463a56569dd5b5e22500"/>
    <w:p>
      <w:pPr>
        <w:pStyle w:val="Heading3"/>
      </w:pPr>
      <w:r>
        <w:t xml:space="preserve">What happens to lenders if the PPP contract is terminated early?</w:t>
      </w:r>
    </w:p>
    <w:p>
      <w:pPr>
        <w:pStyle w:val="FirstParagraph"/>
      </w:pPr>
      <w:r>
        <w:t xml:space="preserve">Protection sits mainly in the termination compensation formula, not the guarantee. A well-structured KPBU agreement sizes the termination payment to repay outstanding senior debt, and a government guarantee can cover the government’s own payment obligation where the trigger is a covered risk. Lenders test deductions, valuation basis and timing closely.</w:t>
      </w:r>
    </w:p>
    <w:bookmarkEnd w:id="30"/>
    <w:bookmarkStart w:id="31" w:name="Xddbad63afef81f041eae000021471c2538db0d9"/>
    <w:p>
      <w:pPr>
        <w:pStyle w:val="Heading3"/>
      </w:pPr>
      <w:r>
        <w:t xml:space="preserve">Is the government guarantee provider itself rated?</w:t>
      </w:r>
    </w:p>
    <w:p>
      <w:pPr>
        <w:pStyle w:val="FirstParagraph"/>
      </w:pPr>
      <w:r>
        <w:t xml:space="preserve">Yes. Fitch Ratings affirmed Indonesia’s state-owned infrastructure guarantee company at long-term foreign- and local-currency</w:t>
      </w:r>
      <w:r>
        <w:t xml:space="preserve"> </w:t>
      </w:r>
      <w:r>
        <w:t xml:space="preserve">‘BBB’</w:t>
      </w:r>
      <w:r>
        <w:t xml:space="preserve">, short-term</w:t>
      </w:r>
      <w:r>
        <w:t xml:space="preserve"> </w:t>
      </w:r>
      <w:r>
        <w:t xml:space="preserve">‘F2’</w:t>
      </w:r>
      <w:r>
        <w:t xml:space="preserve"> </w:t>
      </w:r>
      <w:r>
        <w:t xml:space="preserve">and national long-term</w:t>
      </w:r>
      <w:r>
        <w:t xml:space="preserve"> </w:t>
      </w:r>
      <w:r>
        <w:t xml:space="preserve">‘AAA(idn)’</w:t>
      </w:r>
      <w:r>
        <w:t xml:space="preserve">, Outlook Stable, on 12 February 2026. Because it is a government-related entity wholly owned through the Ministry of Finance, the rating is credit-linked to Indonesia’s sovereign.</w:t>
      </w:r>
    </w:p>
    <w:bookmarkEnd w:id="31"/>
    <w:bookmarkEnd w:id="32"/>
    <w:bookmarkStart w:id="33" w:name="conclusion"/>
    <w:p>
      <w:pPr>
        <w:pStyle w:val="Heading2"/>
      </w:pPr>
      <w:r>
        <w:t xml:space="preserve">Conclusion</w:t>
      </w:r>
    </w:p>
    <w:p>
      <w:pPr>
        <w:pStyle w:val="FirstParagraph"/>
      </w:pPr>
      <w:r>
        <w:t xml:space="preserve">The pattern in a stalled Indonesian public private partnership is rarely a missing guarantee. It is a conditions-precedent list nobody sequenced, a termination formula nobody stress-tested, and a counterparty nobody credit-assessed. Work those three before signing rather than after, and the twelve-month clock stops being the constraint.</w:t>
      </w:r>
    </w:p>
    <w:p>
      <w:pPr>
        <w:pStyle w:val="BodyText"/>
      </w:pPr>
      <w:r>
        <w:t xml:space="preserve">PT PII is the only state-owned company mandated to provide government guarantees for KPBU projects, structuring cover over risks the government carries under the contract so that creditworthiness improves while the state budget’s contingent liabilities stay ring-fenced. That is a deliberately narrow role, and it works best when the rest of the package is already sound.</w:t>
      </w:r>
    </w:p>
    <w:p>
      <w:pPr>
        <w:pStyle w:val="BodyText"/>
      </w:pPr>
      <w:r>
        <w:t xml:space="preserve">How that cover is structured for a KPBU project, and where it sits in the conditions-precedent chain, is set out at ptpii.co.id.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jdih.kemenkeu.go.id/dok/pmk-68-tahun-2024" TargetMode="External" /><Relationship Type="http://schemas.openxmlformats.org/officeDocument/2006/relationships/hyperlink" Id="rId18" Target="https://peraturan.go.id/id/perpres-no-38-tahun-2015" TargetMode="External" /><Relationship Type="http://schemas.openxmlformats.org/officeDocument/2006/relationships/hyperlink" Id="rId19" Target="https://www.ptpii.co.id/kpbu" TargetMode="External" /><Relationship Type="http://schemas.openxmlformats.org/officeDocument/2006/relationships/hyperlink" Id="rId21" Target="https://www.ptpii.co.id/pembiayaan-kreatif" TargetMode="External" /><Relationship Type="http://schemas.openxmlformats.org/officeDocument/2006/relationships/hyperlink" Id="rId17"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0" Target="https://jdih.kemenkeu.go.id/dok/pmk-68-tahun-2024" TargetMode="External" /><Relationship Type="http://schemas.openxmlformats.org/officeDocument/2006/relationships/hyperlink" Id="rId18" Target="https://peraturan.go.id/id/perpres-no-38-tahun-2015" TargetMode="External" /><Relationship Type="http://schemas.openxmlformats.org/officeDocument/2006/relationships/hyperlink" Id="rId19" Target="https://www.ptpii.co.id/kpbu" TargetMode="External" /><Relationship Type="http://schemas.openxmlformats.org/officeDocument/2006/relationships/hyperlink" Id="rId21" Target="https://www.ptpii.co.id/pembiayaan-kreatif" TargetMode="External" /><Relationship Type="http://schemas.openxmlformats.org/officeDocument/2006/relationships/hyperlink" Id="rId17"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2026-08-12T09:08:32Z</dcterms:created>
  <dcterms:modified xsi:type="dcterms:W3CDTF">2026-08-12T09:08:32Z</dcterms:modified>
</cp:coreProperties>
</file>

<file path=docProps/custom.xml><?xml version="1.0" encoding="utf-8"?>
<Properties xmlns="http://schemas.openxmlformats.org/officeDocument/2006/custom-properties" xmlns:vt="http://schemas.openxmlformats.org/officeDocument/2006/docPropsVTypes"/>
</file>