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"Public Private Partnership Guarantees: Indonesia's Cover vs MIGA and MDBs"</w:t>
      </w:r>
      <w:r>
        <w:br/>
      </w:r>
      <w:r>
        <w:rPr>
          <w:rStyle w:val="FunctionTok"/>
        </w:rPr>
        <w:t xml:space="preserve">meta_title</w:t>
      </w:r>
      <w:r>
        <w:rPr>
          <w:rStyle w:val="KeywordTok"/>
        </w:rPr>
        <w:t xml:space="preserve">:</w:t>
      </w:r>
      <w:r>
        <w:rPr>
          <w:rStyle w:val="AttributeTok"/>
        </w:rPr>
        <w:t xml:space="preserve"> </w:t>
      </w:r>
      <w:r>
        <w:rPr>
          <w:rStyle w:val="StringTok"/>
        </w:rPr>
        <w:t xml:space="preserve">"Public Private Partnership Guarantees Compared"</w:t>
      </w:r>
      <w:r>
        <w:br/>
      </w:r>
      <w:r>
        <w:rPr>
          <w:rStyle w:val="FunctionTok"/>
        </w:rPr>
        <w:t xml:space="preserve">meta_description</w:t>
      </w:r>
      <w:r>
        <w:rPr>
          <w:rStyle w:val="KeywordTok"/>
        </w:rPr>
        <w:t xml:space="preserve">:</w:t>
      </w:r>
      <w:r>
        <w:rPr>
          <w:rStyle w:val="AttributeTok"/>
        </w:rPr>
        <w:t xml:space="preserve"> </w:t>
      </w:r>
      <w:r>
        <w:rPr>
          <w:rStyle w:val="StringTok"/>
        </w:rPr>
        <w:t xml:space="preserve">"How Indonesia's public private partnership guarantee compares with MIGA insurance, MDB partial risk guarantees and ECA cover: scope, claims, stacking."</w:t>
      </w:r>
      <w:r>
        <w:br/>
      </w:r>
      <w:r>
        <w:rPr>
          <w:rStyle w:val="FunctionTok"/>
        </w:rPr>
        <w:t xml:space="preserve">slug</w:t>
      </w:r>
      <w:r>
        <w:rPr>
          <w:rStyle w:val="KeywordTok"/>
        </w:rPr>
        <w:t xml:space="preserve">:</w:t>
      </w:r>
      <w:r>
        <w:rPr>
          <w:rStyle w:val="AttributeTok"/>
        </w:rPr>
        <w:t xml:space="preserve"> </w:t>
      </w:r>
      <w:r>
        <w:rPr>
          <w:rStyle w:val="StringTok"/>
        </w:rPr>
        <w:t xml:space="preserve">"public-private-partnership-guarantees-compared"</w:t>
      </w:r>
      <w:r>
        <w:br/>
      </w:r>
      <w:r>
        <w:rPr>
          <w:rStyle w:val="FunctionTok"/>
        </w:rPr>
        <w:t xml:space="preserve">language</w:t>
      </w:r>
      <w:r>
        <w:rPr>
          <w:rStyle w:val="KeywordTok"/>
        </w:rPr>
        <w:t xml:space="preserve">:</w:t>
      </w:r>
      <w:r>
        <w:rPr>
          <w:rStyle w:val="AttributeTok"/>
        </w:rPr>
        <w:t xml:space="preserve"> </w:t>
      </w:r>
      <w:r>
        <w:rPr>
          <w:rStyle w:val="StringTok"/>
        </w:rPr>
        <w:t xml:space="preserve">"en"</w:t>
      </w:r>
      <w:r>
        <w:br/>
      </w:r>
      <w:r>
        <w:rPr>
          <w:rStyle w:val="FunctionTok"/>
        </w:rPr>
        <w:t xml:space="preserve">primary_keyword</w:t>
      </w:r>
      <w:r>
        <w:rPr>
          <w:rStyle w:val="KeywordTok"/>
        </w:rPr>
        <w:t xml:space="preserve">:</w:t>
      </w:r>
      <w:r>
        <w:rPr>
          <w:rStyle w:val="AttributeTok"/>
        </w:rPr>
        <w:t xml:space="preserve"> </w:t>
      </w:r>
      <w:r>
        <w:rPr>
          <w:rStyle w:val="StringTok"/>
        </w:rPr>
        <w:t xml:space="preserve">"public private partnership"</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"PPP guarantee comparison"</w:t>
      </w:r>
      <w:r>
        <w:br/>
      </w:r>
      <w:r>
        <w:rPr>
          <w:rStyle w:val="AttributeTok"/>
        </w:rPr>
        <w:t xml:space="preserve">  </w:t>
      </w:r>
      <w:r>
        <w:rPr>
          <w:rStyle w:val="KeywordTok"/>
        </w:rPr>
        <w:t xml:space="preserve">-</w:t>
      </w:r>
      <w:r>
        <w:rPr>
          <w:rStyle w:val="AttributeTok"/>
        </w:rPr>
        <w:t xml:space="preserve"> </w:t>
      </w:r>
      <w:r>
        <w:rPr>
          <w:rStyle w:val="StringTok"/>
        </w:rPr>
        <w:t xml:space="preserve">"political risk insurance MIGA"</w:t>
      </w:r>
      <w:r>
        <w:br/>
      </w:r>
      <w:r>
        <w:rPr>
          <w:rStyle w:val="AttributeTok"/>
        </w:rPr>
        <w:t xml:space="preserve">  </w:t>
      </w:r>
      <w:r>
        <w:rPr>
          <w:rStyle w:val="KeywordTok"/>
        </w:rPr>
        <w:t xml:space="preserve">-</w:t>
      </w:r>
      <w:r>
        <w:rPr>
          <w:rStyle w:val="AttributeTok"/>
        </w:rPr>
        <w:t xml:space="preserve"> </w:t>
      </w:r>
      <w:r>
        <w:rPr>
          <w:rStyle w:val="StringTok"/>
        </w:rPr>
        <w:t xml:space="preserve">"partial risk guarantee"</w:t>
      </w:r>
      <w:r>
        <w:br/>
      </w:r>
      <w:r>
        <w:rPr>
          <w:rStyle w:val="AttributeTok"/>
        </w:rPr>
        <w:t xml:space="preserve">  </w:t>
      </w:r>
      <w:r>
        <w:rPr>
          <w:rStyle w:val="KeywordTok"/>
        </w:rPr>
        <w:t xml:space="preserve">-</w:t>
      </w:r>
      <w:r>
        <w:rPr>
          <w:rStyle w:val="AttributeTok"/>
        </w:rPr>
        <w:t xml:space="preserve"> </w:t>
      </w:r>
      <w:r>
        <w:rPr>
          <w:rStyle w:val="StringTok"/>
        </w:rPr>
        <w:t xml:space="preserve">"credit enhancement infrastructure"</w:t>
      </w:r>
      <w:r>
        <w:br/>
      </w:r>
      <w:r>
        <w:rPr>
          <w:rStyle w:val="AttributeTok"/>
        </w:rPr>
        <w:t xml:space="preserve">  </w:t>
      </w:r>
      <w:r>
        <w:rPr>
          <w:rStyle w:val="KeywordTok"/>
        </w:rPr>
        <w:t xml:space="preserve">-</w:t>
      </w:r>
      <w:r>
        <w:rPr>
          <w:rStyle w:val="AttributeTok"/>
        </w:rPr>
        <w:t xml:space="preserve"> </w:t>
      </w:r>
      <w:r>
        <w:rPr>
          <w:rStyle w:val="StringTok"/>
        </w:rPr>
        <w:t xml:space="preserve">"export credit agency cover"</w:t>
      </w:r>
      <w:r>
        <w:br/>
      </w:r>
      <w:r>
        <w:rPr>
          <w:rStyle w:val="AttributeTok"/>
        </w:rPr>
        <w:t xml:space="preserve">  </w:t>
      </w:r>
      <w:r>
        <w:rPr>
          <w:rStyle w:val="KeywordTok"/>
        </w:rPr>
        <w:t xml:space="preserve">-</w:t>
      </w:r>
      <w:r>
        <w:rPr>
          <w:rStyle w:val="AttributeTok"/>
        </w:rPr>
        <w:t xml:space="preserve"> </w:t>
      </w:r>
      <w:r>
        <w:rPr>
          <w:rStyle w:val="StringTok"/>
        </w:rPr>
        <w:t xml:space="preserve">"Indonesia Infrastructure Guarantee Fund (IIGF)"</w:t>
      </w:r>
      <w:r>
        <w:br/>
      </w:r>
      <w:r>
        <w:rPr>
          <w:rStyle w:val="AttributeTok"/>
        </w:rPr>
        <w:t xml:space="preserve">  </w:t>
      </w:r>
      <w:r>
        <w:rPr>
          <w:rStyle w:val="KeywordTok"/>
        </w:rPr>
        <w:t xml:space="preserve">-</w:t>
      </w:r>
      <w:r>
        <w:rPr>
          <w:rStyle w:val="AttributeTok"/>
        </w:rPr>
        <w:t xml:space="preserve"> </w:t>
      </w:r>
      <w:r>
        <w:rPr>
          <w:rStyle w:val="StringTok"/>
        </w:rPr>
        <w:t xml:space="preserve">"currency inconvertibility and transfer restriction"</w:t>
      </w:r>
      <w:r>
        <w:br/>
      </w:r>
      <w:r>
        <w:rPr>
          <w:rStyle w:val="AttributeTok"/>
        </w:rPr>
        <w:t xml:space="preserve">  </w:t>
      </w:r>
      <w:r>
        <w:rPr>
          <w:rStyle w:val="KeywordTok"/>
        </w:rPr>
        <w:t xml:space="preserve">-</w:t>
      </w:r>
      <w:r>
        <w:rPr>
          <w:rStyle w:val="AttributeTok"/>
        </w:rPr>
        <w:t xml:space="preserve"> </w:t>
      </w:r>
      <w:r>
        <w:rPr>
          <w:rStyle w:val="StringTok"/>
        </w:rPr>
        <w:t xml:space="preserve">"breach of contract cover"</w:t>
      </w:r>
      <w:r>
        <w:br/>
      </w:r>
      <w:r>
        <w:rPr>
          <w:rStyle w:val="AttributeTok"/>
        </w:rPr>
        <w:t xml:space="preserve">  </w:t>
      </w:r>
      <w:r>
        <w:rPr>
          <w:rStyle w:val="KeywordTok"/>
        </w:rPr>
        <w:t xml:space="preserve">-</w:t>
      </w:r>
      <w:r>
        <w:rPr>
          <w:rStyle w:val="AttributeTok"/>
        </w:rPr>
        <w:t xml:space="preserve"> </w:t>
      </w:r>
      <w:r>
        <w:rPr>
          <w:rStyle w:val="StringTok"/>
        </w:rPr>
        <w:t xml:space="preserve">"guarantee stacking"</w:t>
      </w:r>
      <w:r>
        <w:br/>
      </w:r>
      <w:r>
        <w:rPr>
          <w:rStyle w:val="AttributeTok"/>
        </w:rPr>
        <w:t xml:space="preserve">  </w:t>
      </w:r>
      <w:r>
        <w:rPr>
          <w:rStyle w:val="KeywordTok"/>
        </w:rPr>
        <w:t xml:space="preserve">-</w:t>
      </w:r>
      <w:r>
        <w:rPr>
          <w:rStyle w:val="AttributeTok"/>
        </w:rPr>
        <w:t xml:space="preserve"> </w:t>
      </w:r>
      <w:r>
        <w:rPr>
          <w:rStyle w:val="StringTok"/>
        </w:rPr>
        <w:t xml:space="preserve">"co-guarantee"</w:t>
      </w:r>
      <w:r>
        <w:br/>
      </w:r>
      <w:r>
        <w:rPr>
          <w:rStyle w:val="AttributeTok"/>
        </w:rPr>
        <w:t xml:space="preserve">  </w:t>
      </w:r>
      <w:r>
        <w:rPr>
          <w:rStyle w:val="KeywordTok"/>
        </w:rPr>
        <w:t xml:space="preserve">-</w:t>
      </w:r>
      <w:r>
        <w:rPr>
          <w:rStyle w:val="AttributeTok"/>
        </w:rPr>
        <w:t xml:space="preserve"> </w:t>
      </w:r>
      <w:r>
        <w:rPr>
          <w:rStyle w:val="StringTok"/>
        </w:rPr>
        <w:t xml:space="preserve">"multilateral development bank guarantee"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"Indonesia's public private partnership guarantee"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"KPBU, the Indonesian name for the same scheme"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"creative financing arrangements used for regional infrastructure"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"https://www.miga.org/political-risk-insurance"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"MIGA's published political risk cover: currency inconvertibility and transfer restriction, expropriation, war and civil disturbance, breach of contract"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"https://www.worldbank.org/en/about/unit/brief/guarantees-platform"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"World Bank Group Guarantee Platform live 1 July 2024, consolidating World Bank, IFC and MIGA guarantee products"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"https://www.adb.org/what-we-do/private-sector-financing/guarantees"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"ADB Partial Risk Guarantee and Partial Credit Guarantee definitions"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"https://jdih.kemenkeu.go.id/dok/pmk-68-tahun-2024"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"PMK 68/2024 as the current implementing regulation, effective 18 October 2024, revoking PMK 260/PMK.011/2010"</w:t>
      </w:r>
      <w:r>
        <w:br/>
      </w:r>
      <w:r>
        <w:rPr>
          <w:rStyle w:val="FunctionTok"/>
        </w:rPr>
        <w:t xml:space="preserve">brief_id</w:t>
      </w:r>
      <w:r>
        <w:rPr>
          <w:rStyle w:val="KeywordTok"/>
        </w:rPr>
        <w:t xml:space="preserve">:</w:t>
      </w:r>
      <w:r>
        <w:rPr>
          <w:rStyle w:val="AttributeTok"/>
        </w:rPr>
        <w:t xml:space="preserve"> </w:t>
      </w:r>
      <w:r>
        <w:rPr>
          <w:rStyle w:val="StringTok"/>
        </w:rPr>
        <w:t xml:space="preserve">"public-private-partnership-03"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1750</w:t>
      </w:r>
    </w:p>
    <w:p>
      <w:r>
        <w:pict>
          <v:rect style="width:0;height:1.5pt" o:hralign="center" o:hrstd="t" o:hr="t"/>
        </w:pict>
      </w:r>
    </w:p>
    <w:bookmarkEnd w:id="16"/>
    <w:bookmarkStart w:id="35" w:name="X29be4f6ab9fbed1a97941276cecf88c073e3b4b"/>
    <w:p>
      <w:pPr>
        <w:pStyle w:val="Heading1"/>
      </w:pPr>
      <w:r>
        <w:t xml:space="preserve">Public Private Partnership Guarantees: Indonesia’s Cover vs MIGA and MDBs</w:t>
      </w:r>
    </w:p>
    <w:p>
      <w:pPr>
        <w:pStyle w:val="FirstParagraph"/>
      </w:pPr>
      <w:r>
        <w:t xml:space="preserve">Credit committees are easier to convince when every instrument in the package has a defined job. Sponsors arriving in Indonesia usually have three mapped already: MIGA cover, a partial risk guarantee, an export credit agency line. Then the contracting agency offers</w:t>
      </w:r>
      <w:r>
        <w:t xml:space="preserve"> </w:t>
      </w:r>
      <w:hyperlink r:id="rId17">
        <w:r>
          <w:rPr>
            <w:rStyle w:val="Hyperlink"/>
          </w:rPr>
          <w:t xml:space="preserve">Indonesia’s public private partnership guarantee</w:t>
        </w:r>
      </w:hyperlink>
      <w:r>
        <w:t xml:space="preserve">, and nobody can say whether it duplicates cover already bought or fills a real gap. This article puts all four in one matrix.</w:t>
      </w:r>
    </w:p>
    <w:p>
      <w:pPr>
        <w:pStyle w:val="BlockText"/>
      </w:pPr>
      <w:r>
        <w:rPr>
          <w:b/>
          <w:bCs/>
        </w:rPr>
        <w:t xml:space="preserve">In brief:</w:t>
      </w:r>
      <w:r>
        <w:t xml:space="preserve"> </w:t>
      </w:r>
      <w:r>
        <w:t xml:space="preserve">A government guarantee in a public private partnership is cover issued over the obligations the government contracting agency owes the project company under the cooperation contract. In Indonesia it is issued by PT Penjaminan Infrastruktur Indonesia (PT PII), internationally known as the Indonesia Infrastructure Guarantee Fund (IIGF), the Ministry of Finance’s guarantee company for infrastructure PPP projects.</w:t>
      </w:r>
    </w:p>
    <w:bookmarkStart w:id="20" w:name="X1612658990a738e87e57561dc487d545476366f"/>
    <w:p>
      <w:pPr>
        <w:pStyle w:val="Heading2"/>
      </w:pPr>
      <w:r>
        <w:t xml:space="preserve">What is a government guarantee in an Indonesian public private partnership?</w:t>
      </w:r>
    </w:p>
    <w:p>
      <w:pPr>
        <w:pStyle w:val="FirstParagraph"/>
      </w:pPr>
      <w:r>
        <w:t xml:space="preserve">It is a promise by a third party to perform a defined obligation of the government contracting agency if that agency fails to. It reaches government-side contract risk only, raises the project’s creditworthiness for lenders, and ring-fences the state budget by routing claims through a single capitalised guarantee entity rather than the treasury.</w:t>
      </w:r>
    </w:p>
    <w:p>
      <w:pPr>
        <w:pStyle w:val="BodyText"/>
      </w:pPr>
      <w:r>
        <w:t xml:space="preserve">Indonesia runs its PPPs under</w:t>
      </w:r>
      <w:r>
        <w:t xml:space="preserve"> </w:t>
      </w:r>
      <w:hyperlink r:id="rId18">
        <w:r>
          <w:rPr>
            <w:rStyle w:val="Hyperlink"/>
          </w:rPr>
          <w:t xml:space="preserve">KPBU, the Indonesian name for the same scheme</w:t>
        </w:r>
      </w:hyperlink>
      <w:r>
        <w:t xml:space="preserve">:</w:t>
      </w:r>
      <w:r>
        <w:t xml:space="preserve"> </w:t>
      </w:r>
      <w:r>
        <w:rPr>
          <w:i/>
          <w:iCs/>
        </w:rPr>
        <w:t xml:space="preserve">Kerja Sama Pemerintah dengan Badan Usaha</w:t>
      </w:r>
      <w:r>
        <w:t xml:space="preserve">. The guarantee attaches to the cooperation contract between the project company and the PJPK (</w:t>
      </w:r>
      <w:r>
        <w:rPr>
          <w:i/>
          <w:iCs/>
        </w:rPr>
        <w:t xml:space="preserve">Penanggung Jawab Proyek Kerja Sama</w:t>
      </w:r>
      <w:r>
        <w:t xml:space="preserve">), the contracting agency. Peraturan Presiden 78/2010 remains in force, but the Ministry of Finance’s implementing rule changed: PMK 68/2024 took effect on 18 October 2024 and revoked PMK 260/PMK.011/2010 (</w:t>
      </w:r>
      <w:hyperlink r:id="rId19">
        <w:r>
          <w:rPr>
            <w:rStyle w:val="Hyperlink"/>
          </w:rPr>
          <w:t xml:space="preserve">JDIH Kementerian Keuangan</w:t>
        </w:r>
      </w:hyperlink>
      <w:r>
        <w:t xml:space="preserve">, verified 2026). Commentary still citing the 2010 rule as current law is out of date. PMK 68/2024 also defines two forms of cover: a guarantee from a Badan Usaha Penjaminan Infrastruktur (BUPI) alone, or a co-guarantee issued jointly with the Government.</w:t>
      </w:r>
    </w:p>
    <w:p>
      <w:pPr>
        <w:pStyle w:val="BodyText"/>
      </w:pPr>
      <w:r>
        <w:t xml:space="preserve">Four families of risk sit inside the cover:</w:t>
      </w:r>
    </w:p>
    <w:p>
      <w:pPr>
        <w:pStyle w:val="Compact"/>
        <w:numPr>
          <w:ilvl w:val="0"/>
          <w:numId w:val="1001"/>
        </w:numPr>
      </w:pPr>
      <w:r>
        <w:rPr>
          <w:b/>
          <w:bCs/>
        </w:rPr>
        <w:t xml:space="preserve">Discriminatory change of law</w:t>
      </w:r>
      <w:r>
        <w:t xml:space="preserve"> </w:t>
      </w:r>
      <w:r>
        <w:t xml:space="preserve">aimed at the project.</w:t>
      </w:r>
    </w:p>
    <w:p>
      <w:pPr>
        <w:pStyle w:val="Compact"/>
        <w:numPr>
          <w:ilvl w:val="0"/>
          <w:numId w:val="1001"/>
        </w:numPr>
      </w:pPr>
      <w:r>
        <w:rPr>
          <w:b/>
          <w:bCs/>
        </w:rPr>
        <w:t xml:space="preserve">Delay or failure</w:t>
      </w:r>
      <w:r>
        <w:t xml:space="preserve"> </w:t>
      </w:r>
      <w:r>
        <w:t xml:space="preserve">in key government approvals.</w:t>
      </w:r>
    </w:p>
    <w:p>
      <w:pPr>
        <w:pStyle w:val="Compact"/>
        <w:numPr>
          <w:ilvl w:val="0"/>
          <w:numId w:val="1001"/>
        </w:numPr>
      </w:pPr>
      <w:r>
        <w:rPr>
          <w:b/>
          <w:bCs/>
        </w:rPr>
        <w:t xml:space="preserve">Early termination</w:t>
      </w:r>
      <w:r>
        <w:t xml:space="preserve"> </w:t>
      </w:r>
      <w:r>
        <w:t xml:space="preserve">on government action or PJPK default.</w:t>
      </w:r>
    </w:p>
    <w:p>
      <w:pPr>
        <w:pStyle w:val="Compact"/>
        <w:numPr>
          <w:ilvl w:val="0"/>
          <w:numId w:val="1001"/>
        </w:numPr>
      </w:pPr>
      <w:r>
        <w:rPr>
          <w:b/>
          <w:bCs/>
        </w:rPr>
        <w:t xml:space="preserve">Other government acts or omissions</w:t>
      </w:r>
      <w:r>
        <w:t xml:space="preserve"> </w:t>
      </w:r>
      <w:r>
        <w:t xml:space="preserve">under the KPBU contract.</w:t>
      </w:r>
    </w:p>
    <w:p>
      <w:pPr>
        <w:pStyle w:val="FirstParagraph"/>
      </w:pPr>
      <w:r>
        <w:t xml:space="preserve">The instrument is not insurance, and the distinction is structural.</w:t>
      </w:r>
    </w:p>
    <w:p>
      <w:pPr>
        <w:pStyle w:val="BodyText"/>
      </w:pPr>
      <w:r>
        <w:t xml:space="preserve">Insurance pays an insured for a defined loss event, on proof of loss, priced on pooled risk. A guarantee is a secondary promise behind a named counterparty’s primary obligation, and in Indonesia it carries a regress right: a paid claim is recoverable from the PJPK. So it is not a subsidy, and never reaches demand, construction or operating risk.</w:t>
      </w:r>
    </w:p>
    <w:bookmarkEnd w:id="20"/>
    <w:bookmarkStart w:id="23" w:name="Xa8e81a221cbc36778e69fc26c18f24d7fc9768a"/>
    <w:p>
      <w:pPr>
        <w:pStyle w:val="Heading2"/>
      </w:pPr>
      <w:r>
        <w:t xml:space="preserve">Indonesia’s guarantee against the instruments you already use</w:t>
      </w:r>
    </w:p>
    <w:p>
      <w:pPr>
        <w:pStyle w:val="FirstParagraph"/>
      </w:pPr>
      <w:r>
        <w:t xml:space="preserve">The four instruments differ less in ambition than in who they protect. Indonesia’s guarantee protects the project company against its government counterparty. MIGA insures the foreign investor or lender against sovereign-level events. A multilateral development bank guarantee protects the lender. Export credit agency cover protects the exporter or its financier. None substitutes cleanly for another.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Instrument</w:t>
            </w:r>
          </w:p>
        </w:tc>
        <w:tc>
          <w:tcPr/>
          <w:p>
            <w:pPr>
              <w:pStyle w:val="Compact"/>
            </w:pPr>
            <w:r>
              <w:t xml:space="preserve">Provider</w:t>
            </w:r>
          </w:p>
        </w:tc>
        <w:tc>
          <w:tcPr/>
          <w:p>
            <w:pPr>
              <w:pStyle w:val="Compact"/>
            </w:pPr>
            <w:r>
              <w:t xml:space="preserve">Risks covered</w:t>
            </w:r>
          </w:p>
        </w:tc>
        <w:tc>
          <w:tcPr/>
          <w:p>
            <w:pPr>
              <w:pStyle w:val="Compact"/>
            </w:pPr>
            <w:r>
              <w:t xml:space="preserve">Beneficiary</w:t>
            </w:r>
          </w:p>
        </w:tc>
        <w:tc>
          <w:tcPr/>
          <w:p>
            <w:pPr>
              <w:pStyle w:val="Compact"/>
            </w:pPr>
            <w:r>
              <w:t xml:space="preserve">Claim mechanics</w:t>
            </w:r>
          </w:p>
        </w:tc>
        <w:tc>
          <w:tcPr/>
          <w:p>
            <w:pPr>
              <w:pStyle w:val="Compact"/>
            </w:pPr>
            <w:r>
              <w:t xml:space="preserve">Recourse</w:t>
            </w:r>
          </w:p>
        </w:tc>
        <w:tc>
          <w:tcPr/>
          <w:p>
            <w:pPr>
              <w:pStyle w:val="Compact"/>
            </w:pPr>
            <w:r>
              <w:t xml:space="preserve">Stacks?</w:t>
            </w:r>
          </w:p>
        </w:tc>
      </w:tr>
      <w:tr>
        <w:tc>
          <w:tcPr/>
          <w:p>
            <w:pPr>
              <w:pStyle w:val="Compact"/>
            </w:pPr>
            <w:r>
              <w:t xml:space="preserve">Indonesia’s PPP government guarantee</w:t>
            </w:r>
          </w:p>
        </w:tc>
        <w:tc>
          <w:tcPr/>
          <w:p>
            <w:pPr>
              <w:pStyle w:val="Compact"/>
            </w:pPr>
            <w:r>
              <w:t xml:space="preserve">BUPI, under the Ministry of Finance</w:t>
            </w:r>
          </w:p>
        </w:tc>
        <w:tc>
          <w:tcPr/>
          <w:p>
            <w:pPr>
              <w:pStyle w:val="Compact"/>
            </w:pPr>
            <w:r>
              <w:t xml:space="preserve">Government-side contract risk: discriminatory change of law, blocked approvals, PJPK-default termination</w:t>
            </w:r>
          </w:p>
        </w:tc>
        <w:tc>
          <w:tcPr/>
          <w:p>
            <w:pPr>
              <w:pStyle w:val="Compact"/>
            </w:pPr>
            <w:r>
              <w:t xml:space="preserve">Project company under the KPBU contract</w:t>
            </w:r>
          </w:p>
        </w:tc>
        <w:tc>
          <w:tcPr/>
          <w:p>
            <w:pPr>
              <w:pStyle w:val="Compact"/>
            </w:pPr>
            <w:r>
              <w:t xml:space="preserve">Proven PJPK default under the Guarantee Agreement</w:t>
            </w:r>
          </w:p>
        </w:tc>
        <w:tc>
          <w:tcPr/>
          <w:p>
            <w:pPr>
              <w:pStyle w:val="Compact"/>
            </w:pPr>
            <w:r>
              <w:t xml:space="preserve">Regress against the PJPK</w:t>
            </w:r>
          </w:p>
        </w:tc>
        <w:tc>
          <w:tcPr/>
          <w:p>
            <w:pPr>
              <w:pStyle w:val="Compact"/>
            </w:pPr>
            <w:r>
              <w:t xml:space="preserve">Yes, domestically as a co-guarantee</w:t>
            </w:r>
          </w:p>
        </w:tc>
      </w:tr>
      <w:tr>
        <w:tc>
          <w:tcPr/>
          <w:p>
            <w:pPr>
              <w:pStyle w:val="Compact"/>
            </w:pPr>
            <w:r>
              <w:t xml:space="preserve">MIGA political risk insurance</w:t>
            </w:r>
          </w:p>
        </w:tc>
        <w:tc>
          <w:tcPr/>
          <w:p>
            <w:pPr>
              <w:pStyle w:val="Compact"/>
            </w:pPr>
            <w:r>
              <w:t xml:space="preserve">Multilateral insurer, World Bank Group</w:t>
            </w:r>
          </w:p>
        </w:tc>
        <w:tc>
          <w:tcPr/>
          <w:p>
            <w:pPr>
              <w:pStyle w:val="Compact"/>
            </w:pPr>
            <w:r>
              <w:t xml:space="preserve">Currency inconvertibility and transfer restriction, expropriation, war and civil disturbance, breach of contract</w:t>
            </w:r>
          </w:p>
        </w:tc>
        <w:tc>
          <w:tcPr/>
          <w:p>
            <w:pPr>
              <w:pStyle w:val="Compact"/>
            </w:pPr>
            <w:r>
              <w:t xml:space="preserve">Foreign investor or cross-border lender</w:t>
            </w:r>
          </w:p>
        </w:tc>
        <w:tc>
          <w:tcPr/>
          <w:p>
            <w:pPr>
              <w:pStyle w:val="Compact"/>
            </w:pPr>
            <w:r>
              <w:t xml:space="preserve">Waiting period; breach-of-contract claims usually need an arbitral award</w:t>
            </w:r>
          </w:p>
        </w:tc>
        <w:tc>
          <w:tcPr/>
          <w:p>
            <w:pPr>
              <w:pStyle w:val="Compact"/>
            </w:pPr>
            <w:r>
              <w:t xml:space="preserve">Subrogation against the host government</w:t>
            </w:r>
          </w:p>
        </w:tc>
        <w:tc>
          <w:tcPr/>
          <w:p>
            <w:pPr>
              <w:pStyle w:val="Compact"/>
            </w:pPr>
            <w:r>
              <w:t xml:space="preserve">Structurally yes; different party</w:t>
            </w:r>
          </w:p>
        </w:tc>
      </w:tr>
      <w:tr>
        <w:tc>
          <w:tcPr/>
          <w:p>
            <w:pPr>
              <w:pStyle w:val="Compact"/>
            </w:pPr>
            <w:r>
              <w:t xml:space="preserve">MDB partial risk or partial credit guarantee</w:t>
            </w:r>
          </w:p>
        </w:tc>
        <w:tc>
          <w:tcPr/>
          <w:p>
            <w:pPr>
              <w:pStyle w:val="Compact"/>
            </w:pPr>
            <w:r>
              <w:t xml:space="preserve">Multilateral development bank (World Bank Group; ADB)</w:t>
            </w:r>
          </w:p>
        </w:tc>
        <w:tc>
          <w:tcPr/>
          <w:p>
            <w:pPr>
              <w:pStyle w:val="Compact"/>
            </w:pPr>
            <w:r>
              <w:t xml:space="preserve">Partial risk: political events under a project agreement; partial credit: any non-payment</w:t>
            </w:r>
          </w:p>
        </w:tc>
        <w:tc>
          <w:tcPr/>
          <w:p>
            <w:pPr>
              <w:pStyle w:val="Compact"/>
            </w:pPr>
            <w:r>
              <w:t xml:space="preserve">Commercial lender or bondholder</w:t>
            </w:r>
          </w:p>
        </w:tc>
        <w:tc>
          <w:tcPr/>
          <w:p>
            <w:pPr>
              <w:pStyle w:val="Compact"/>
            </w:pPr>
            <w:r>
              <w:t xml:space="preserve">Defined trigger conditions; generally no waiting period</w:t>
            </w:r>
          </w:p>
        </w:tc>
        <w:tc>
          <w:tcPr/>
          <w:p>
            <w:pPr>
              <w:pStyle w:val="Compact"/>
            </w:pPr>
            <w:r>
              <w:t xml:space="preserve">Counter-guarantee from the host government</w:t>
            </w:r>
          </w:p>
        </w:tc>
        <w:tc>
          <w:tcPr/>
          <w:p>
            <w:pPr>
              <w:pStyle w:val="Compact"/>
            </w:pPr>
            <w:r>
              <w:t xml:space="preserve">By design, negotiated per deal</w:t>
            </w:r>
          </w:p>
        </w:tc>
      </w:tr>
      <w:tr>
        <w:tc>
          <w:tcPr/>
          <w:p>
            <w:pPr>
              <w:pStyle w:val="Compact"/>
            </w:pPr>
            <w:r>
              <w:t xml:space="preserve">Export credit agency cover</w:t>
            </w:r>
          </w:p>
        </w:tc>
        <w:tc>
          <w:tcPr/>
          <w:p>
            <w:pPr>
              <w:pStyle w:val="Compact"/>
            </w:pPr>
            <w:r>
              <w:t xml:space="preserve">National agency backing its country’s exports</w:t>
            </w:r>
          </w:p>
        </w:tc>
        <w:tc>
          <w:tcPr/>
          <w:p>
            <w:pPr>
              <w:pStyle w:val="Compact"/>
            </w:pPr>
            <w:r>
              <w:t xml:space="preserve">Commercial risk (buyer default, insolvency) plus political risk; agency-specific</w:t>
            </w:r>
          </w:p>
        </w:tc>
        <w:tc>
          <w:tcPr/>
          <w:p>
            <w:pPr>
              <w:pStyle w:val="Compact"/>
            </w:pPr>
            <w:r>
              <w:t xml:space="preserve">Exporter or its financing lender</w:t>
            </w:r>
          </w:p>
        </w:tc>
        <w:tc>
          <w:tcPr/>
          <w:p>
            <w:pPr>
              <w:pStyle w:val="Compact"/>
            </w:pPr>
            <w:r>
              <w:t xml:space="preserve">Varies; OECD Arrangement coordinates participants</w:t>
            </w:r>
          </w:p>
        </w:tc>
        <w:tc>
          <w:tcPr/>
          <w:p>
            <w:pPr>
              <w:pStyle w:val="Compact"/>
            </w:pPr>
            <w:r>
              <w:t xml:space="preserve">Agency-specific recovery</w:t>
            </w:r>
          </w:p>
        </w:tc>
        <w:tc>
          <w:tcPr/>
          <w:p>
            <w:pPr>
              <w:pStyle w:val="Compact"/>
            </w:pPr>
            <w:r>
              <w:t xml:space="preserve">Yes in principle, eligibility permitting</w:t>
            </w:r>
          </w:p>
        </w:tc>
      </w:tr>
    </w:tbl>
    <w:p>
      <w:pPr>
        <w:pStyle w:val="BodyText"/>
      </w:pPr>
      <w:r>
        <w:t xml:space="preserve">The political risk insurance row reproduces</w:t>
      </w:r>
      <w:r>
        <w:t xml:space="preserve"> </w:t>
      </w:r>
      <w:hyperlink r:id="rId21">
        <w:r>
          <w:rPr>
            <w:rStyle w:val="Hyperlink"/>
          </w:rPr>
          <w:t xml:space="preserve">MIGA’s own published cover</w:t>
        </w:r>
      </w:hyperlink>
      <w:r>
        <w:t xml:space="preserve"> </w:t>
      </w:r>
      <w:r>
        <w:t xml:space="preserve">as at 2026; non-honouring of financial obligations sits in a separate credit line. Since</w:t>
      </w:r>
      <w:r>
        <w:t xml:space="preserve"> </w:t>
      </w:r>
      <w:hyperlink r:id="rId22">
        <w:r>
          <w:rPr>
            <w:rStyle w:val="Hyperlink"/>
          </w:rPr>
          <w:t xml:space="preserve">the World Bank Group Guarantee Platform</w:t>
        </w:r>
      </w:hyperlink>
      <w:r>
        <w:t xml:space="preserve"> </w:t>
      </w:r>
      <w:r>
        <w:t xml:space="preserve">went live on 1 July 2024, World Bank, IFC and MIGA products have formed one consolidated menu at MIGA.</w:t>
      </w:r>
    </w:p>
    <w:bookmarkEnd w:id="23"/>
    <w:bookmarkStart w:id="24" w:name="X7e1cbcec64ee087aa58b70865c2b623cd17af2a"/>
    <w:p>
      <w:pPr>
        <w:pStyle w:val="Heading2"/>
      </w:pPr>
      <w:r>
        <w:t xml:space="preserve">Which instrument pays faster when something goes wrong?</w:t>
      </w:r>
    </w:p>
    <w:p>
      <w:pPr>
        <w:pStyle w:val="FirstParagraph"/>
      </w:pPr>
      <w:r>
        <w:t xml:space="preserve">Bank-type guarantees generally pay sooner. Insurance-type political risk cover typically requires a waiting period, and for breach-of-contract claims an arbitral award against the host government, before it pays. Partial risk and partial credit guarantees issued by multilateral development banks carry no equivalent waiting period; they pay once the defined trigger conditions are met.</w:t>
      </w:r>
    </w:p>
    <w:p>
      <w:pPr>
        <w:pStyle w:val="BodyText"/>
      </w:pPr>
      <w:r>
        <w:t xml:space="preserve">That contrast comes from the Global Infrastructure Hub’s guide to MDB guarantee products, describing instrument classes rather than any product’s contract terms. For scale, a MIGA presentation dated to fiscal year 2017 described a 60-day waiting period from the date of loss, around 90 further days for a government to honour an arbitral award in a breach-of-contract claim, and a 180-day filing window. Those illustrate mechanics, not current binding terms.</w:t>
      </w:r>
    </w:p>
    <w:p>
      <w:pPr>
        <w:pStyle w:val="BodyText"/>
      </w:pPr>
      <w:r>
        <w:t xml:space="preserve">Liquidity is why this matters. A lender buys the punctuality of a debt service payment as much as the breadth of cover; protection that pays in full long after a missed instalment does not prevent a default. Hence the common pattern, a division of labour rather than a ranking: political risk insurance for equity exposure, a bank-type guarantee for senior debt.</w:t>
      </w:r>
    </w:p>
    <w:bookmarkEnd w:id="24"/>
    <w:bookmarkStart w:id="25" w:name="X6ef5b4f61ef82d3bbe6714d06be957edf25adc7"/>
    <w:p>
      <w:pPr>
        <w:pStyle w:val="Heading2"/>
      </w:pPr>
      <w:r>
        <w:t xml:space="preserve">Can these instruments be combined on one project?</w:t>
      </w:r>
    </w:p>
    <w:p>
      <w:pPr>
        <w:pStyle w:val="FirstParagraph"/>
      </w:pPr>
      <w:r>
        <w:t xml:space="preserve">Partly, and the honest answer has three levels. Indonesia operates a confirmed domestic co-guarantee between the Ministry of Finance and the national guarantee provider. That provider has worked alongside a World Bank Group guarantee on specific past projects. A standing pairing with MIGA is not yet evidenced as an operating arrangement.</w:t>
      </w:r>
    </w:p>
    <w:p>
      <w:pPr>
        <w:pStyle w:val="Compact"/>
        <w:numPr>
          <w:ilvl w:val="0"/>
          <w:numId w:val="1002"/>
        </w:numPr>
      </w:pPr>
      <w:r>
        <w:rPr>
          <w:b/>
          <w:bCs/>
        </w:rPr>
        <w:t xml:space="preserve">Domestic co-guarantee (</w:t>
      </w:r>
      <w:r>
        <w:rPr>
          <w:b/>
          <w:bCs/>
          <w:i/>
          <w:iCs/>
        </w:rPr>
        <w:t xml:space="preserve">Penjaminan Bersama</w:t>
      </w:r>
      <w:r>
        <w:rPr>
          <w:b/>
          <w:bCs/>
        </w:rPr>
        <w:t xml:space="preserve">): confirmed and operating.</w:t>
      </w:r>
      <w:r>
        <w:t xml:space="preserve"> </w:t>
      </w:r>
      <w:r>
        <w:t xml:space="preserve">PMK 68/2024 defines it as a guarantee issued jointly by the Government and the BUPI over one project risk. The Ministry of Finance’s KPBU portal frames it as the route when guarantee need outruns the BUPI’s own capacity, which stood at a maximum IDR 191.6 trillion against equity of IDR 16.0 trillion as at end-December 2025 (Fitch Ratings, 12 February 2026).</w:t>
      </w:r>
    </w:p>
    <w:p>
      <w:pPr>
        <w:pStyle w:val="Compact"/>
        <w:numPr>
          <w:ilvl w:val="0"/>
          <w:numId w:val="1002"/>
        </w:numPr>
      </w:pPr>
      <w:r>
        <w:rPr>
          <w:b/>
          <w:bCs/>
        </w:rPr>
        <w:t xml:space="preserve">World Bank Group co-guarantee: documented, but historical.</w:t>
      </w:r>
      <w:r>
        <w:t xml:space="preserve"> </w:t>
      </w:r>
      <w:r>
        <w:t xml:space="preserve">Third-party case-study material records the World Bank Group among co-guarantors on named Indonesian flagship projects of roughly 2011 to 2020 vintage. Treat it as precedent, not a standing feature.</w:t>
      </w:r>
    </w:p>
    <w:p>
      <w:pPr>
        <w:pStyle w:val="Compact"/>
        <w:numPr>
          <w:ilvl w:val="0"/>
          <w:numId w:val="1002"/>
        </w:numPr>
      </w:pPr>
      <w:r>
        <w:rPr>
          <w:b/>
          <w:bCs/>
        </w:rPr>
        <w:t xml:space="preserve">MIGA: exploratory.</w:t>
      </w:r>
      <w:r>
        <w:t xml:space="preserve"> </w:t>
      </w:r>
      <w:r>
        <w:t xml:space="preserve">The Indonesian provider’s release of 4 February 2025 described a MIGA visit as exploring potential collaboration, and reporting from 5 March 2026 still had it seeking international partners including the World Bank and the Islamic Development Bank.</w:t>
      </w:r>
    </w:p>
    <w:p>
      <w:pPr>
        <w:pStyle w:val="FirstParagraph"/>
      </w:pPr>
      <w:r>
        <w:t xml:space="preserve">Two things get called stacking. The domestic co-guarantee stacks two Indonesian government-side providers on one risk. Layering the national guarantee with MIGA or MDB cover stacks instruments protecting different counterparties: structurally compatible, negotiated deal by deal.</w:t>
      </w:r>
    </w:p>
    <w:p>
      <w:pPr>
        <w:pStyle w:val="BodyText"/>
      </w:pPr>
      <w:r>
        <w:t xml:space="preserve">Before paying for both, check that covered events, beneficiary and trigger genuinely differ.</w:t>
      </w:r>
    </w:p>
    <w:bookmarkEnd w:id="25"/>
    <w:bookmarkStart w:id="27" w:name="X9d7de226af2207817728a2cb559701831b27f8d"/>
    <w:p>
      <w:pPr>
        <w:pStyle w:val="Heading2"/>
      </w:pPr>
      <w:r>
        <w:t xml:space="preserve">When you do not need Indonesia’s government guarantee</w:t>
      </w:r>
    </w:p>
    <w:p>
      <w:pPr>
        <w:pStyle w:val="FirstParagraph"/>
      </w:pPr>
      <w:r>
        <w:t xml:space="preserve">Skip it when the payment obligor is not a government contracting agency, when the risk keeping you awake is demand or construction cost, or when the concession is short enough that a capped, fee-bearing guarantee adds little. A guarantee cannot repair a risk allocation the contract got wrong.</w:t>
      </w:r>
    </w:p>
    <w:p>
      <w:pPr>
        <w:pStyle w:val="Compact"/>
        <w:numPr>
          <w:ilvl w:val="0"/>
          <w:numId w:val="1003"/>
        </w:numPr>
      </w:pPr>
      <w:r>
        <w:rPr>
          <w:b/>
          <w:bCs/>
        </w:rPr>
        <w:t xml:space="preserve">No government counterparty, no cover.</w:t>
      </w:r>
      <w:r>
        <w:t xml:space="preserve"> </w:t>
      </w:r>
      <w:r>
        <w:t xml:space="preserve">If the offtaker is a private buyer, there is nothing to attach to.</w:t>
      </w:r>
    </w:p>
    <w:p>
      <w:pPr>
        <w:pStyle w:val="Compact"/>
        <w:numPr>
          <w:ilvl w:val="0"/>
          <w:numId w:val="1003"/>
        </w:numPr>
      </w:pPr>
      <w:r>
        <w:rPr>
          <w:b/>
          <w:bCs/>
        </w:rPr>
        <w:t xml:space="preserve">Commercial risk stays with the sponsor.</w:t>
      </w:r>
      <w:r>
        <w:t xml:space="preserve"> </w:t>
      </w:r>
      <w:r>
        <w:t xml:space="preserve">Traffic that never materialises, a contractor that overruns, an operating cost that drifts: none is government-side risk.</w:t>
      </w:r>
    </w:p>
    <w:p>
      <w:pPr>
        <w:pStyle w:val="Compact"/>
        <w:numPr>
          <w:ilvl w:val="0"/>
          <w:numId w:val="1003"/>
        </w:numPr>
      </w:pPr>
      <w:r>
        <w:rPr>
          <w:b/>
          <w:bCs/>
        </w:rPr>
        <w:t xml:space="preserve">Subnational schemes follow other routes.</w:t>
      </w:r>
      <w:r>
        <w:t xml:space="preserve"> </w:t>
      </w:r>
      <w:r>
        <w:t xml:space="preserve">Regional projects often turn to</w:t>
      </w:r>
      <w:r>
        <w:t xml:space="preserve"> </w:t>
      </w:r>
      <w:hyperlink r:id="rId26">
        <w:r>
          <w:rPr>
            <w:rStyle w:val="Hyperlink"/>
          </w:rPr>
          <w:t xml:space="preserve">creative financing arrangements used for regional infrastructure</w:t>
        </w:r>
      </w:hyperlink>
      <w:r>
        <w:t xml:space="preserve"> </w:t>
      </w:r>
      <w:r>
        <w:t xml:space="preserve">rather than a full guarantee.</w:t>
      </w:r>
    </w:p>
    <w:p>
      <w:pPr>
        <w:pStyle w:val="Compact"/>
        <w:numPr>
          <w:ilvl w:val="0"/>
          <w:numId w:val="1003"/>
        </w:numPr>
      </w:pPr>
      <w:r>
        <w:rPr>
          <w:b/>
          <w:bCs/>
        </w:rPr>
        <w:t xml:space="preserve">The cover is finite and priced.</w:t>
      </w:r>
      <w:r>
        <w:t xml:space="preserve"> </w:t>
      </w:r>
      <w:r>
        <w:t xml:space="preserve">Legal commentary describes Indonesia’s guarantee as typically capped, running about 15 years, with an upfront fee plus a recurring six-monthly fee (A&amp;O Shearman, 2026).</w:t>
      </w:r>
    </w:p>
    <w:p>
      <w:pPr>
        <w:pStyle w:val="FirstParagraph"/>
      </w:pPr>
      <w:r>
        <w:t xml:space="preserve">That is not a criticism; it applies to all four. MIGA policies, MDB guarantees and ECA cover are equally capped, priced and eligibility-bound. The useful question is never which instrument is strongest, but whose failure to pay you need someone else to stand behind.</w:t>
      </w:r>
    </w:p>
    <w:bookmarkEnd w:id="27"/>
    <w:bookmarkStart w:id="33" w:name="faq-frequently-asked-questions"/>
    <w:p>
      <w:pPr>
        <w:pStyle w:val="Heading2"/>
      </w:pPr>
      <w:r>
        <w:t xml:space="preserve">FAQ (Frequently Asked Questions)</w:t>
      </w:r>
    </w:p>
    <w:bookmarkStart w:id="28" w:name="Xec17ab37283eb8717abbcba5db0bc0c90439d27"/>
    <w:p>
      <w:pPr>
        <w:pStyle w:val="Heading3"/>
      </w:pPr>
      <w:r>
        <w:t xml:space="preserve">What is the difference between a government guarantee and political risk insurance?</w:t>
      </w:r>
    </w:p>
    <w:p>
      <w:pPr>
        <w:pStyle w:val="FirstParagraph"/>
      </w:pPr>
      <w:r>
        <w:t xml:space="preserve">A government guarantee covers the contracting agency’s own obligations to the project company: a blocked approval, an unpaid termination payment. Political risk insurance protects the foreign investor or lender against sovereign-level events, typically paying only after a waiting period and, for contract disputes, an arbitral award (MIGA, 2026).</w:t>
      </w:r>
    </w:p>
    <w:bookmarkEnd w:id="28"/>
    <w:bookmarkStart w:id="29" w:name="Xe62b202bf5e2c161d9939e4ab2413f878f9b9be"/>
    <w:p>
      <w:pPr>
        <w:pStyle w:val="Heading3"/>
      </w:pPr>
      <w:r>
        <w:t xml:space="preserve">Does Indonesia’s PPP guarantee cover currency inconvertibility?</w:t>
      </w:r>
    </w:p>
    <w:p>
      <w:pPr>
        <w:pStyle w:val="FirstParagraph"/>
      </w:pPr>
      <w:r>
        <w:t xml:space="preserve">Not in the Indonesian provider’s published risk list: discriminatory change of law, delayed or failed government approvals, early termination on government default, and other government acts or omissions under the contract (2026). Some third-party comparisons describe a broader universe, so treat this as unpublished rather than settled. MIGA’s product does cover it.</w:t>
      </w:r>
    </w:p>
    <w:bookmarkEnd w:id="29"/>
    <w:bookmarkStart w:id="30" w:name="X0429cefa88acc88830638f013b20b24056a6162"/>
    <w:p>
      <w:pPr>
        <w:pStyle w:val="Heading3"/>
      </w:pPr>
      <w:r>
        <w:t xml:space="preserve">Can MIGA cover and an Indonesian government guarantee apply to the same project?</w:t>
      </w:r>
    </w:p>
    <w:p>
      <w:pPr>
        <w:pStyle w:val="FirstParagraph"/>
      </w:pPr>
      <w:r>
        <w:t xml:space="preserve">Structurally yes: they protect different parties. The Indonesian guarantee runs to the project company, MIGA insures the foreign investor or lender. A domestic co-guarantee with the Ministry of Finance is confirmed under PMK 68/2024, while a standing MIGA arrangement was still described as exploratory in reporting through March 2026.</w:t>
      </w:r>
    </w:p>
    <w:bookmarkEnd w:id="30"/>
    <w:bookmarkStart w:id="31" w:name="is-ppp-the-same-as-kpbu"/>
    <w:p>
      <w:pPr>
        <w:pStyle w:val="Heading3"/>
      </w:pPr>
      <w:r>
        <w:t xml:space="preserve">Is PPP the same as KPBU?</w:t>
      </w:r>
    </w:p>
    <w:p>
      <w:pPr>
        <w:pStyle w:val="FirstParagraph"/>
      </w:pPr>
      <w:r>
        <w:t xml:space="preserve">Yes. KPBU (</w:t>
      </w:r>
      <w:r>
        <w:rPr>
          <w:i/>
          <w:iCs/>
        </w:rPr>
        <w:t xml:space="preserve">Kerja Sama Pemerintah dengan Badan Usaha</w:t>
      </w:r>
      <w:r>
        <w:t xml:space="preserve">) is Indonesia’s legal name for what international practice calls a public private partnership, governed by Peraturan Presiden No. 38 Tahun 2015. International sponsors will meet</w:t>
      </w:r>
      <w:r>
        <w:t xml:space="preserve"> </w:t>
      </w:r>
      <w:r>
        <w:t xml:space="preserve">“KPBU”</w:t>
      </w:r>
      <w:r>
        <w:t xml:space="preserve"> </w:t>
      </w:r>
      <w:r>
        <w:t xml:space="preserve">in Indonesian contracts and regulations describing the same underlying scheme.</w:t>
      </w:r>
    </w:p>
    <w:bookmarkEnd w:id="31"/>
    <w:bookmarkStart w:id="32" w:name="X04c1f53e8a4be6c37d450909957bee249ac2e94"/>
    <w:p>
      <w:pPr>
        <w:pStyle w:val="Heading3"/>
      </w:pPr>
      <w:r>
        <w:t xml:space="preserve">Can you give me an example of a public private partnership project in Indonesia?</w:t>
      </w:r>
    </w:p>
    <w:p>
      <w:pPr>
        <w:pStyle w:val="FirstParagraph"/>
      </w:pPr>
      <w:r>
        <w:t xml:space="preserve">Guaranteed KPBU projects span toll roads, drinking water, geothermal power, waste-to-energy and telecommunications, including the Palapa Ring fibre-optic backbone and the Kediri–Tulungagung toll road. The Indonesian guarantee provider’s cumulative portfolio stood at 61 projects, 38 of them KPBU, across seven sectors, worth above IDR 732 trillion as at June 2026.</w:t>
      </w:r>
    </w:p>
    <w:bookmarkEnd w:id="32"/>
    <w:bookmarkEnd w:id="33"/>
    <w:bookmarkStart w:id="34" w:name="conclusion"/>
    <w:p>
      <w:pPr>
        <w:pStyle w:val="Heading2"/>
      </w:pPr>
      <w:r>
        <w:t xml:space="preserve">Conclusion</w:t>
      </w:r>
    </w:p>
    <w:p>
      <w:pPr>
        <w:pStyle w:val="FirstParagraph"/>
      </w:pPr>
      <w:r>
        <w:t xml:space="preserve">The instrument you need turns on one question: whose failure to pay would break the model? If the answer is the government contracting agency, the guarantee written into the public private partnership contract is built for that counterparty, and the others sit around it rather than in place of it. PT PII is the Ministry of Finance’s Badan Usaha Penjaminan Infrastruktur, mandated to issue government guarantees for KPBU projects.</w:t>
      </w:r>
    </w:p>
    <w:p>
      <w:pPr>
        <w:pStyle w:val="BodyText"/>
      </w:pPr>
      <w:r>
        <w:t xml:space="preserve">How government guarantees are structured for KPBU projects, and where they sit alongside other cover, is set out at ptpii.co.id.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jdih.kemenkeu.go.id/dok/pmk-68-tahun-2024" TargetMode="External" /><Relationship Type="http://schemas.openxmlformats.org/officeDocument/2006/relationships/hyperlink" Id="rId21" Target="https://www.miga.org/political-risk-insurance" TargetMode="External" /><Relationship Type="http://schemas.openxmlformats.org/officeDocument/2006/relationships/hyperlink" Id="rId18" Target="https://www.ptpii.co.id/kpbu" TargetMode="External" /><Relationship Type="http://schemas.openxmlformats.org/officeDocument/2006/relationships/hyperlink" Id="rId26" Target="https://www.ptpii.co.id/pembiayaan-kreatif" TargetMode="External" /><Relationship Type="http://schemas.openxmlformats.org/officeDocument/2006/relationships/hyperlink" Id="rId17" Target="https://www.ptpii.co.id/public-private-partnership" TargetMode="External" /><Relationship Type="http://schemas.openxmlformats.org/officeDocument/2006/relationships/hyperlink" Id="rId22" Target="https://www.worldbank.org/en/about/unit/brief/guarantees-platform" TargetMode="External" /></Relationships>
</file>

<file path=word/_rels/footnotes.xml.rels><?xml version="1.0" encoding="UTF-8"?><Relationships xmlns="http://schemas.openxmlformats.org/package/2006/relationships"><Relationship Type="http://schemas.openxmlformats.org/officeDocument/2006/relationships/hyperlink" Id="rId19" Target="https://jdih.kemenkeu.go.id/dok/pmk-68-tahun-2024" TargetMode="External" /><Relationship Type="http://schemas.openxmlformats.org/officeDocument/2006/relationships/hyperlink" Id="rId21" Target="https://www.miga.org/political-risk-insurance" TargetMode="External" /><Relationship Type="http://schemas.openxmlformats.org/officeDocument/2006/relationships/hyperlink" Id="rId18" Target="https://www.ptpii.co.id/kpbu" TargetMode="External" /><Relationship Type="http://schemas.openxmlformats.org/officeDocument/2006/relationships/hyperlink" Id="rId26" Target="https://www.ptpii.co.id/pembiayaan-kreatif" TargetMode="External" /><Relationship Type="http://schemas.openxmlformats.org/officeDocument/2006/relationships/hyperlink" Id="rId17" Target="https://www.ptpii.co.id/public-private-partnership" TargetMode="External" /><Relationship Type="http://schemas.openxmlformats.org/officeDocument/2006/relationships/hyperlink" Id="rId22" Target="https://www.worldbank.org/en/about/unit/brief/guarantees-platfor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2026-08-12T09:08:32Z</dcterms:created>
  <dcterms:modified xsi:type="dcterms:W3CDTF">2026-08-12T09:08:32Z</dcterms:modified>
</cp:coreProperties>
</file>

<file path=docProps/custom.xml><?xml version="1.0" encoding="utf-8"?>
<Properties xmlns="http://schemas.openxmlformats.org/officeDocument/2006/custom-properties" xmlns:vt="http://schemas.openxmlformats.org/officeDocument/2006/docPropsVTypes"/>
</file>