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"Jaminan Pemerintah KPBU: Di Mana Tercatat dalam APBN?"</w:t>
      </w:r>
      <w:r>
        <w:br/>
      </w:r>
      <w:r>
        <w:rPr>
          <w:rStyle w:val="FunctionTok"/>
        </w:rPr>
        <w:t xml:space="preserve">meta_title</w:t>
      </w:r>
      <w:r>
        <w:rPr>
          <w:rStyle w:val="KeywordTok"/>
        </w:rPr>
        <w:t xml:space="preserve">:</w:t>
      </w:r>
      <w:r>
        <w:rPr>
          <w:rStyle w:val="AttributeTok"/>
        </w:rPr>
        <w:t xml:space="preserve"> </w:t>
      </w:r>
      <w:r>
        <w:rPr>
          <w:rStyle w:val="StringTok"/>
        </w:rPr>
        <w:t xml:space="preserve">"Jaminan Pemerintah KPBU: Di Mana Tercatat dalam APBN?"</w:t>
      </w:r>
      <w:r>
        <w:br/>
      </w:r>
      <w:r>
        <w:rPr>
          <w:rStyle w:val="FunctionTok"/>
        </w:rPr>
        <w:t xml:space="preserve">meta_description</w:t>
      </w:r>
      <w:r>
        <w:rPr>
          <w:rStyle w:val="KeywordTok"/>
        </w:rPr>
        <w:t xml:space="preserve">:</w:t>
      </w:r>
      <w:r>
        <w:rPr>
          <w:rStyle w:val="AttributeTok"/>
        </w:rPr>
        <w:t xml:space="preserve"> </w:t>
      </w:r>
      <w:r>
        <w:rPr>
          <w:rStyle w:val="StringTok"/>
        </w:rPr>
        <w:t xml:space="preserve">"Jaminan pemerintah pada proyek KPBU tidak muncul di neraca APBN. Pelajari di mana kewajiban kontinjensi diungkapkan dan bagaimana eksposurnya dikelola."</w:t>
      </w:r>
      <w:r>
        <w:br/>
      </w:r>
      <w:r>
        <w:rPr>
          <w:rStyle w:val="FunctionTok"/>
        </w:rPr>
        <w:t xml:space="preserve">slug</w:t>
      </w:r>
      <w:r>
        <w:rPr>
          <w:rStyle w:val="KeywordTok"/>
        </w:rPr>
        <w:t xml:space="preserve">:</w:t>
      </w:r>
      <w:r>
        <w:rPr>
          <w:rStyle w:val="AttributeTok"/>
        </w:rPr>
        <w:t xml:space="preserve"> </w:t>
      </w:r>
      <w:r>
        <w:rPr>
          <w:rStyle w:val="StringTok"/>
        </w:rPr>
        <w:t xml:space="preserve">"jaminan-pemerintah-kpbu-di-mana-tercatat-dalam-apbn"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"Jaminan Pemerintah"</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"kewajiban kontinjensi"</w:t>
      </w:r>
      <w:r>
        <w:br/>
      </w:r>
      <w:r>
        <w:rPr>
          <w:rStyle w:val="AttributeTok"/>
        </w:rPr>
        <w:t xml:space="preserve">  </w:t>
      </w:r>
      <w:r>
        <w:rPr>
          <w:rStyle w:val="KeywordTok"/>
        </w:rPr>
        <w:t xml:space="preserve">-</w:t>
      </w:r>
      <w:r>
        <w:rPr>
          <w:rStyle w:val="AttributeTok"/>
        </w:rPr>
        <w:t xml:space="preserve"> </w:t>
      </w:r>
      <w:r>
        <w:rPr>
          <w:rStyle w:val="StringTok"/>
        </w:rPr>
        <w:t xml:space="preserve">"penjaminan infrastruktur"</w:t>
      </w:r>
      <w:r>
        <w:br/>
      </w:r>
      <w:r>
        <w:rPr>
          <w:rStyle w:val="AttributeTok"/>
        </w:rPr>
        <w:t xml:space="preserve">  </w:t>
      </w:r>
      <w:r>
        <w:rPr>
          <w:rStyle w:val="KeywordTok"/>
        </w:rPr>
        <w:t xml:space="preserve">-</w:t>
      </w:r>
      <w:r>
        <w:rPr>
          <w:rStyle w:val="AttributeTok"/>
        </w:rPr>
        <w:t xml:space="preserve"> </w:t>
      </w:r>
      <w:r>
        <w:rPr>
          <w:rStyle w:val="StringTok"/>
        </w:rPr>
        <w:t xml:space="preserve">"risiko fiskal"</w:t>
      </w:r>
      <w:r>
        <w:br/>
      </w:r>
      <w:r>
        <w:rPr>
          <w:rStyle w:val="AttributeTok"/>
        </w:rPr>
        <w:t xml:space="preserve">  </w:t>
      </w:r>
      <w:r>
        <w:rPr>
          <w:rStyle w:val="KeywordTok"/>
        </w:rPr>
        <w:t xml:space="preserve">-</w:t>
      </w:r>
      <w:r>
        <w:rPr>
          <w:rStyle w:val="AttributeTok"/>
        </w:rPr>
        <w:t xml:space="preserve"> </w:t>
      </w:r>
      <w:r>
        <w:rPr>
          <w:rStyle w:val="StringTok"/>
        </w:rPr>
        <w:t xml:space="preserve">"Catatan atas Laporan Keuangan"</w:t>
      </w:r>
      <w:r>
        <w:br/>
      </w:r>
      <w:r>
        <w:rPr>
          <w:rStyle w:val="AttributeTok"/>
        </w:rPr>
        <w:t xml:space="preserve">  </w:t>
      </w:r>
      <w:r>
        <w:rPr>
          <w:rStyle w:val="KeywordTok"/>
        </w:rPr>
        <w:t xml:space="preserve">-</w:t>
      </w:r>
      <w:r>
        <w:rPr>
          <w:rStyle w:val="AttributeTok"/>
        </w:rPr>
        <w:t xml:space="preserve"> </w:t>
      </w:r>
      <w:r>
        <w:rPr>
          <w:rStyle w:val="StringTok"/>
        </w:rPr>
        <w:t xml:space="preserve">"Laporan Keuangan Pemerintah Pusat"</w:t>
      </w:r>
      <w:r>
        <w:br/>
      </w:r>
      <w:r>
        <w:rPr>
          <w:rStyle w:val="AttributeTok"/>
        </w:rPr>
        <w:t xml:space="preserve">  </w:t>
      </w:r>
      <w:r>
        <w:rPr>
          <w:rStyle w:val="KeywordTok"/>
        </w:rPr>
        <w:t xml:space="preserve">-</w:t>
      </w:r>
      <w:r>
        <w:rPr>
          <w:rStyle w:val="AttributeTok"/>
        </w:rPr>
        <w:t xml:space="preserve"> </w:t>
      </w:r>
      <w:r>
        <w:rPr>
          <w:rStyle w:val="StringTok"/>
        </w:rPr>
        <w:t xml:space="preserve">"Nota Keuangan"</w:t>
      </w:r>
      <w:r>
        <w:br/>
      </w:r>
      <w:r>
        <w:rPr>
          <w:rStyle w:val="AttributeTok"/>
        </w:rPr>
        <w:t xml:space="preserve">  </w:t>
      </w:r>
      <w:r>
        <w:rPr>
          <w:rStyle w:val="KeywordTok"/>
        </w:rPr>
        <w:t xml:space="preserve">-</w:t>
      </w:r>
      <w:r>
        <w:rPr>
          <w:rStyle w:val="AttributeTok"/>
        </w:rPr>
        <w:t xml:space="preserve"> </w:t>
      </w:r>
      <w:r>
        <w:rPr>
          <w:rStyle w:val="StringTok"/>
        </w:rPr>
        <w:t xml:space="preserve">"dana cadangan penjaminan"</w:t>
      </w:r>
      <w:r>
        <w:br/>
      </w:r>
      <w:r>
        <w:rPr>
          <w:rStyle w:val="AttributeTok"/>
        </w:rPr>
        <w:t xml:space="preserve">  </w:t>
      </w:r>
      <w:r>
        <w:rPr>
          <w:rStyle w:val="KeywordTok"/>
        </w:rPr>
        <w:t xml:space="preserve">-</w:t>
      </w:r>
      <w:r>
        <w:rPr>
          <w:rStyle w:val="AttributeTok"/>
        </w:rPr>
        <w:t xml:space="preserve"> </w:t>
      </w:r>
      <w:r>
        <w:rPr>
          <w:rStyle w:val="StringTok"/>
        </w:rPr>
        <w:t xml:space="preserve">"eksposur penjaminan"</w:t>
      </w:r>
      <w:r>
        <w:br/>
      </w:r>
      <w:r>
        <w:rPr>
          <w:rStyle w:val="AttributeTok"/>
        </w:rPr>
        <w:t xml:space="preserve">  </w:t>
      </w:r>
      <w:r>
        <w:rPr>
          <w:rStyle w:val="KeywordTok"/>
        </w:rPr>
        <w:t xml:space="preserve">-</w:t>
      </w:r>
      <w:r>
        <w:rPr>
          <w:rStyle w:val="AttributeTok"/>
        </w:rPr>
        <w:t xml:space="preserve"> </w:t>
      </w:r>
      <w:r>
        <w:rPr>
          <w:rStyle w:val="StringTok"/>
        </w:rPr>
        <w:t xml:space="preserve">"penjaminan bersama"</w:t>
      </w:r>
      <w:r>
        <w:br/>
      </w:r>
      <w:r>
        <w:rPr>
          <w:rStyle w:val="AttributeTok"/>
        </w:rPr>
        <w:t xml:space="preserve">  </w:t>
      </w:r>
      <w:r>
        <w:rPr>
          <w:rStyle w:val="KeywordTok"/>
        </w:rPr>
        <w:t xml:space="preserve">-</w:t>
      </w:r>
      <w:r>
        <w:rPr>
          <w:rStyle w:val="AttributeTok"/>
        </w:rPr>
        <w:t xml:space="preserve"> </w:t>
      </w:r>
      <w:r>
        <w:rPr>
          <w:rStyle w:val="StringTok"/>
        </w:rPr>
        <w:t xml:space="preserve">"Badan Usaha Penjaminan Infrastruktur"</w:t>
      </w:r>
      <w:r>
        <w:br/>
      </w:r>
      <w:r>
        <w:rPr>
          <w:rStyle w:val="AttributeTok"/>
        </w:rPr>
        <w:t xml:space="preserve">  </w:t>
      </w:r>
      <w:r>
        <w:rPr>
          <w:rStyle w:val="KeywordTok"/>
        </w:rPr>
        <w:t xml:space="preserve">-</w:t>
      </w:r>
      <w:r>
        <w:rPr>
          <w:rStyle w:val="AttributeTok"/>
        </w:rPr>
        <w:t xml:space="preserve"> </w:t>
      </w:r>
      <w:r>
        <w:rPr>
          <w:rStyle w:val="StringTok"/>
        </w:rPr>
        <w:t xml:space="preserve">"ring-fence APBN"</w:t>
      </w:r>
      <w:r>
        <w:br/>
      </w:r>
      <w:r>
        <w:rPr>
          <w:rStyle w:val="AttributeTok"/>
        </w:rPr>
        <w:t xml:space="preserve">  </w:t>
      </w:r>
      <w:r>
        <w:rPr>
          <w:rStyle w:val="KeywordTok"/>
        </w:rPr>
        <w:t xml:space="preserve">-</w:t>
      </w:r>
      <w:r>
        <w:rPr>
          <w:rStyle w:val="AttributeTok"/>
        </w:rPr>
        <w:t xml:space="preserve"> </w:t>
      </w:r>
      <w:r>
        <w:rPr>
          <w:rStyle w:val="StringTok"/>
        </w:rPr>
        <w:t xml:space="preserve">"batas maksimal penjaminan"</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"penjaminan pemerintah pada skema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"instrumen pembiayaan kreatif infrastruktur"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"praktik public private partnership di Indonesia"</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"https://peraturan.go.id/files/ps78-2010.pdf"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"Perpres 78/2010: definisi Penjaminan Infrastruktur (Pasal 1), prinsip kesinambungan APBN (Pasal 2), pemicu Penjaminan Bersama (Pasal 7), sumber kekayaan BUPI (Pasal 19), peninjauan kecukupan modal (Pasal 21), kewajiban pelaporan triwulanan (Pasal 23)"</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"https://jdih.kemenkeu.go.id/dok/pmk-69-tahun-2023/summary"</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"PMK 69/2023: Dana Cadangan Penjaminan sebagai rekening khusus akumulasi alokasi anggaran kewajiban penjaminan"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"https://www.ksap.org/sap/risiko-fiskal-pemerintah-pusat-dan-daerah/"</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"Pusat Pengelolaan Risiko Fiskal berdiri di Kementerian Keuangan pada 2006; konteks tata kelola risiko fiskal"</w:t>
      </w:r>
      <w:r>
        <w:br/>
      </w:r>
      <w:r>
        <w:rPr>
          <w:rStyle w:val="FunctionTok"/>
        </w:rPr>
        <w:t xml:space="preserve">brief_id</w:t>
      </w:r>
      <w:r>
        <w:rPr>
          <w:rStyle w:val="KeywordTok"/>
        </w:rPr>
        <w:t xml:space="preserve">:</w:t>
      </w:r>
      <w:r>
        <w:rPr>
          <w:rStyle w:val="AttributeTok"/>
        </w:rPr>
        <w:t xml:space="preserve"> </w:t>
      </w:r>
      <w:r>
        <w:rPr>
          <w:rStyle w:val="StringTok"/>
        </w:rPr>
        <w:t xml:space="preserve">"jaminan-pemerintah-01"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"2026-09-21"</w:t>
      </w:r>
      <w:r>
        <w:br/>
      </w:r>
      <w:r>
        <w:rPr>
          <w:rStyle w:val="FunctionTok"/>
        </w:rPr>
        <w:t xml:space="preserve">word_count</w:t>
      </w:r>
      <w:r>
        <w:rPr>
          <w:rStyle w:val="KeywordTok"/>
        </w:rPr>
        <w:t xml:space="preserve">:</w:t>
      </w:r>
      <w:r>
        <w:rPr>
          <w:rStyle w:val="AttributeTok"/>
        </w:rPr>
        <w:t xml:space="preserve"> </w:t>
      </w:r>
      <w:r>
        <w:rPr>
          <w:rStyle w:val="DecValTok"/>
        </w:rPr>
        <w:t xml:space="preserve">1679</w:t>
      </w:r>
    </w:p>
    <w:p>
      <w:r>
        <w:pict>
          <v:rect style="width:0;height:1.5pt" o:hralign="center" o:hrstd="t" o:hr="t"/>
        </w:pict>
      </w:r>
    </w:p>
    <w:bookmarkEnd w:id="16"/>
    <w:bookmarkStart w:id="36" w:name="Xf6a61fe8f1c0cf380bcdc49c9d0d4203b3557c3"/>
    <w:p>
      <w:pPr>
        <w:pStyle w:val="Heading1"/>
      </w:pPr>
      <w:r>
        <w:t xml:space="preserve">Jaminan Pemerintah KPBU: Di Mana Tercatat dalam APBN?</w:t>
      </w:r>
    </w:p>
    <w:p>
      <w:pPr>
        <w:pStyle w:val="FirstParagraph"/>
      </w:pPr>
      <w:r>
        <w:t xml:space="preserve">Pertanyaannya terdengar sepele: kalau proyek kami sudah dijamin pemerintah, di mana janji itu tertulis? Tim keuangan mencarinya di neraca APBN dan tidak menemukannya. Jaminan pemerintah yang dibahas di sini adalah penjaminan risiko infrastruktur pada proyek KPBU, bukan jaminan sosial atau BPJS, bukan agunan atau jaminan kebendaan, dan bukan jaminan pelaksanaan dalam pengadaan barang dan jasa. Ketiadaan baris itu di neraca bukan tanda jaminannya tidak nyata. Artikel ini menunjukkan di mana kewajiban tersebut benar-benar tercatat, apa beda diungkapkan dan diakui, serta pengendali apa yang menjaga eksposur</w:t>
      </w:r>
      <w:r>
        <w:t xml:space="preserve"> </w:t>
      </w:r>
      <w:hyperlink r:id="rId17">
        <w:r>
          <w:rPr>
            <w:rStyle w:val="Hyperlink"/>
          </w:rPr>
          <w:t xml:space="preserve">penjaminan pemerintah pada skema KPBU</w:t>
        </w:r>
      </w:hyperlink>
      <w:r>
        <w:t xml:space="preserve"> </w:t>
      </w:r>
      <w:r>
        <w:t xml:space="preserve">tetap terukur.</w:t>
      </w:r>
    </w:p>
    <w:p>
      <w:pPr>
        <w:pStyle w:val="BlockText"/>
      </w:pPr>
      <w:r>
        <w:rPr>
          <w:b/>
          <w:bCs/>
        </w:rPr>
        <w:t xml:space="preserve">Ringkasnya:</w:t>
      </w:r>
      <w:r>
        <w:t xml:space="preserve"> </w:t>
      </w:r>
      <w:r>
        <w:t xml:space="preserve">Jaminan pemerintah dalam proyek KPBU, yang secara hukum disebut Penjaminan Infrastruktur, adalah jaminan atas kewajiban finansial Penanggung Jawab Proyek Kerja Sama untuk membayar kompensasi kepada badan usaha ketika risiko infrastruktur yang menjadi tanggung jawabnya terjadi, sesuai alokasi risiko dalam perjanjian KPBU (Perpres 78/2010). Selama belum ditagih, kewajiban itu diungkapkan sebagai kewajiban kontinjensi, bukan diakui sebagai utang di neraca APBN.</w:t>
      </w:r>
    </w:p>
    <w:bookmarkStart w:id="19" w:name="Xb0dcebdecbc029635f16d3d4c24b05fe01aa022"/>
    <w:p>
      <w:pPr>
        <w:pStyle w:val="Heading2"/>
      </w:pPr>
      <w:r>
        <w:t xml:space="preserve">Apa itu jaminan pemerintah dalam proyek KPBU, dan apa yang bukan?</w:t>
      </w:r>
    </w:p>
    <w:p>
      <w:pPr>
        <w:pStyle w:val="FirstParagraph"/>
      </w:pPr>
      <w:r>
        <w:t xml:space="preserve">Jaminan pemerintah pada proyek KPBU (</w:t>
      </w:r>
      <w:r>
        <w:rPr>
          <w:i/>
          <w:iCs/>
        </w:rPr>
        <w:t xml:space="preserve">Kerja Sama Pemerintah dengan Badan Usaha</w:t>
      </w:r>
      <w:r>
        <w:t xml:space="preserve">) adalah penjaminan atas kewajiban finansial PJPK (</w:t>
      </w:r>
      <w:r>
        <w:rPr>
          <w:i/>
          <w:iCs/>
        </w:rPr>
        <w:t xml:space="preserve">Penanggung Jawab Proyek Kerja Sama</w:t>
      </w:r>
      <w:r>
        <w:t xml:space="preserve">) terhadap risiko yang dialokasikan ke sisi pemerintah dalam kontrak.</w:t>
      </w:r>
      <w:r>
        <w:t xml:space="preserve"> </w:t>
      </w:r>
      <w:hyperlink r:id="rId18">
        <w:r>
          <w:rPr>
            <w:rStyle w:val="Hyperlink"/>
          </w:rPr>
          <w:t xml:space="preserve">Perpres 78/2010</w:t>
        </w:r>
      </w:hyperlink>
      <w:r>
        <w:t xml:space="preserve"> </w:t>
      </w:r>
      <w:r>
        <w:t xml:space="preserve">menyebut instrumen ini Penjaminan Infrastruktur dan menempatkannya di bawah prinsip menjaga kesinambungan APBN (</w:t>
      </w:r>
      <w:r>
        <w:rPr>
          <w:i/>
          <w:iCs/>
        </w:rPr>
        <w:t xml:space="preserve">fiscal sustainability</w:t>
      </w:r>
      <w:r>
        <w:t xml:space="preserve">).</w:t>
      </w:r>
    </w:p>
    <w:p>
      <w:pPr>
        <w:pStyle w:val="BodyText"/>
      </w:pPr>
      <w:r>
        <w:t xml:space="preserve">Definisinya sempit, dan itu disengaja. Pasal 1 Perpres 78/2010 mengartikan kewajiban finansial PJPK sebagai kewajiban membayar kompensasi finansial kepada badan usaha atas terjadinya risiko infrastruktur yang menjadi tanggung jawab PJPK sesuai alokasi risiko dalam perjanjian kerja sama. Frasa kuncinya ada pada</w:t>
      </w:r>
      <w:r>
        <w:t xml:space="preserve"> </w:t>
      </w:r>
      <w:r>
        <w:rPr>
          <w:i/>
          <w:iCs/>
        </w:rPr>
        <w:t xml:space="preserve">sesuai alokasi risiko</w:t>
      </w:r>
      <w:r>
        <w:t xml:space="preserve">. Yang dijamin adalah risiko yang dipikul sisi pemerintah dalam kontrak, bukan risiko komersial yang tetap melekat pada badan usaha: permintaan yang meleset, biaya konstruksi yang salah hitung, atau kelalaian operasi.</w:t>
      </w:r>
    </w:p>
    <w:p>
      <w:pPr>
        <w:pStyle w:val="BodyText"/>
      </w:pPr>
      <w:r>
        <w:t xml:space="preserve">Karena itu jaminan pemerintah bukan subsidi. Subsidi adalah pengeluaran tunai yang pasti dan berulang; penjaminan adalah pengalihan risiko bersyarat yang mungkin tidak pernah menimbulkan pengeluaran sama sekali. Perbedaan ini bukan semantik, melainkan justru yang menentukan bagaimana kewajibannya dicatat.</w:t>
      </w:r>
    </w:p>
    <w:bookmarkEnd w:id="19"/>
    <w:bookmarkStart w:id="20" w:name="Xf27e25647241618ad606268e6e75e5367903831"/>
    <w:p>
      <w:pPr>
        <w:pStyle w:val="Heading2"/>
      </w:pPr>
      <w:r>
        <w:t xml:space="preserve">Apakah jaminan pemerintah tercatat sebagai utang di neraca APBN?</w:t>
      </w:r>
    </w:p>
    <w:p>
      <w:pPr>
        <w:pStyle w:val="FirstParagraph"/>
      </w:pPr>
      <w:r>
        <w:t xml:space="preserve">Tidak, selama belum ada klaim. Jaminan yang belum ditagih adalah kewajiban kontinjensi: kewajiban potensial yang keberadaannya belum pasti atau nilainya belum dapat diukur andal. Statusnya</w:t>
      </w:r>
      <w:r>
        <w:t xml:space="preserve"> </w:t>
      </w:r>
      <w:r>
        <w:rPr>
          <w:i/>
          <w:iCs/>
        </w:rPr>
        <w:t xml:space="preserve">diungkapkan</w:t>
      </w:r>
      <w:r>
        <w:t xml:space="preserve"> </w:t>
      </w:r>
      <w:r>
        <w:t xml:space="preserve">dalam catatan laporan keuangan, bukan</w:t>
      </w:r>
      <w:r>
        <w:t xml:space="preserve"> </w:t>
      </w:r>
      <w:r>
        <w:rPr>
          <w:i/>
          <w:iCs/>
        </w:rPr>
        <w:t xml:space="preserve">diakui</w:t>
      </w:r>
      <w:r>
        <w:t xml:space="preserve"> </w:t>
      </w:r>
      <w:r>
        <w:t xml:space="preserve">sebagai utang di neraca. Pembedaan ini berasal dari Standar Akuntansi Pemerintahan, bukan dari kebijakan penjaminan.</w:t>
      </w:r>
    </w:p>
    <w:p>
      <w:pPr>
        <w:pStyle w:val="BodyText"/>
      </w:pPr>
      <w:r>
        <w:t xml:space="preserve">Standar Akuntansi Pemerintahan yang ditetapkan lewat PP 71/2010 memperlakukan kewajiban kontinjensi sebagai kewajiban potensial dari peristiwa masa lalu yang baru menjadi pasti bila satu peristiwa atau lebih di masa depan terjadi di luar kendali penuh entitas. Termasuk di dalamnya kewajiban kini yang tidak diakui karena keluarnya sumber daya belum besar kemungkinannya, atau jumlahnya belum dapat diukur andal.</w:t>
      </w:r>
    </w:p>
    <w:p>
      <w:pPr>
        <w:pStyle w:val="BodyText"/>
      </w:pPr>
      <w:r>
        <w:t xml:space="preserve">Syarat sebaliknya berlaku untuk pengakuan: sebuah kewajiban baru masuk neraca bila besar kemungkinan sumber daya ekonomi akan keluar dan nilai penyelesaiannya dapat diukur andal. Dua syarat itulah pintunya. Selama salah satunya belum terpenuhi, jaminan berhenti di catatan.</w:t>
      </w:r>
    </w:p>
    <w:p>
      <w:pPr>
        <w:pStyle w:val="BodyText"/>
      </w:pPr>
      <w:r>
        <w:t xml:space="preserve">Satu catatan teknis agar tidak berlebihan: PP 71/2010 adalah kendaraan akuntansinya, sedangkan pengaturan rinci kewajiban kontinjensi ditempatkan pada pernyataan standar tersendiri. Yang dipakai di sini adalah dua ambang pengakuannya, bukan rincian teknis pencatatannya.</w:t>
      </w:r>
    </w:p>
    <w:bookmarkEnd w:id="20"/>
    <w:bookmarkStart w:id="22" w:name="X9f348132498cf912e29135e76ca2d9f24950976"/>
    <w:p>
      <w:pPr>
        <w:pStyle w:val="Heading2"/>
      </w:pPr>
      <w:r>
        <w:t xml:space="preserve">Di mana eksposur penjaminan muncul dalam dokumen negara</w:t>
      </w:r>
    </w:p>
    <w:p>
      <w:pPr>
        <w:pStyle w:val="FirstParagraph"/>
      </w:pPr>
      <w:r>
        <w:t xml:space="preserve">Eksposur penjaminan pemerintah muncul di tiga kanal resmi: Catatan atas Laporan Keuangan dalam Laporan Keuangan Pemerintah Pusat yang diaudit Badan Pemeriksa Keuangan (BPK); bab risiko fiskal pada Nota Keuangan yang menyertai RAPBN setiap tahun; dan laporan triwulanan pengendalian kewajiban kontinjensi dari Badan Usaha Penjaminan Infrastruktur (BUPI) kepada Kementerian Keuangan.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Dokumen</w:t>
            </w:r>
          </w:p>
        </w:tc>
        <w:tc>
          <w:tcPr/>
          <w:p>
            <w:pPr>
              <w:pStyle w:val="Compact"/>
            </w:pPr>
            <w:r>
              <w:t xml:space="preserve">Apa yang dimuat</w:t>
            </w:r>
          </w:p>
        </w:tc>
        <w:tc>
          <w:tcPr/>
          <w:p>
            <w:pPr>
              <w:pStyle w:val="Compact"/>
            </w:pPr>
            <w:r>
              <w:t xml:space="preserve">Kapan terbit</w:t>
            </w:r>
          </w:p>
        </w:tc>
      </w:tr>
      <w:tr>
        <w:tc>
          <w:tcPr/>
          <w:p>
            <w:pPr>
              <w:pStyle w:val="Compact"/>
            </w:pPr>
            <w:r>
              <w:t xml:space="preserve">Catatan atas Laporan Keuangan (CaLK) dalam Laporan Keuangan Pemerintah Pusat (LKPP)</w:t>
            </w:r>
          </w:p>
        </w:tc>
        <w:tc>
          <w:tcPr/>
          <w:p>
            <w:pPr>
              <w:pStyle w:val="Compact"/>
            </w:pPr>
            <w:r>
              <w:t xml:space="preserve">Pengungkapan pos yang tidak diakui di neraca, termasuk kewajiban kontinjensi; diaudit BPK</w:t>
            </w:r>
          </w:p>
        </w:tc>
        <w:tc>
          <w:tcPr/>
          <w:p>
            <w:pPr>
              <w:pStyle w:val="Compact"/>
            </w:pPr>
            <w:r>
              <w:t xml:space="preserve">Tahunan, mengikuti siklus LKPP</w:t>
            </w:r>
          </w:p>
        </w:tc>
      </w:tr>
      <w:tr>
        <w:tc>
          <w:tcPr/>
          <w:p>
            <w:pPr>
              <w:pStyle w:val="Compact"/>
            </w:pPr>
            <w:r>
              <w:t xml:space="preserve">Nota Keuangan, bab risiko fiskal</w:t>
            </w:r>
          </w:p>
        </w:tc>
        <w:tc>
          <w:tcPr/>
          <w:p>
            <w:pPr>
              <w:pStyle w:val="Compact"/>
            </w:pPr>
            <w:r>
              <w:t xml:space="preserve">Analisis risiko fiskal pemerintah pusat, termasuk kewajiban kontinjensi dari penjaminan infrastruktur</w:t>
            </w:r>
          </w:p>
        </w:tc>
        <w:tc>
          <w:tcPr/>
          <w:p>
            <w:pPr>
              <w:pStyle w:val="Compact"/>
            </w:pPr>
            <w:r>
              <w:t xml:space="preserve">Tahunan, menyertai RAPBN; edisi terkini membahas RAPBN Tahun Anggaran 2027, dipublikasikan Agustus 2026</w:t>
            </w:r>
          </w:p>
        </w:tc>
      </w:tr>
      <w:tr>
        <w:tc>
          <w:tcPr/>
          <w:p>
            <w:pPr>
              <w:pStyle w:val="Compact"/>
            </w:pPr>
            <w:r>
              <w:t xml:space="preserve">Laporan pengelolaan pengendalian kewajiban kontinjensi</w:t>
            </w:r>
          </w:p>
        </w:tc>
        <w:tc>
          <w:tcPr/>
          <w:p>
            <w:pPr>
              <w:pStyle w:val="Compact"/>
            </w:pPr>
            <w:r>
              <w:t xml:space="preserve">Posisi dan pengendalian eksposur penjaminan dari BUPI kepada Kementerian Keuangan</w:t>
            </w:r>
          </w:p>
        </w:tc>
        <w:tc>
          <w:tcPr/>
          <w:p>
            <w:pPr>
              <w:pStyle w:val="Compact"/>
            </w:pPr>
            <w:r>
              <w:t xml:space="preserve">Triwulanan (Perpres 78/2010 Pasal 23 huruf a)</w:t>
            </w:r>
          </w:p>
        </w:tc>
      </w:tr>
    </w:tbl>
    <w:p>
      <w:pPr>
        <w:pStyle w:val="BodyText"/>
      </w:pPr>
      <w:r>
        <w:t xml:space="preserve">Pasal 23 tidak menempatkan pelaporan ini sebagai praktik baik yang dianjurkan; ia menyebutnya kewajiban. BUPI juga wajib menyampaikan laporan keuangan triwulanan, laporan kegiatan usaha semesteran, dan laporan keuangan tahunan yang diaudit akuntan publik. Pengungkapan berkala semacam ini adalah standar dalam</w:t>
      </w:r>
      <w:r>
        <w:t xml:space="preserve"> </w:t>
      </w:r>
      <w:hyperlink r:id="rId21">
        <w:r>
          <w:rPr>
            <w:rStyle w:val="Hyperlink"/>
          </w:rPr>
          <w:t xml:space="preserve">praktik public private partnership di Indonesia</w:t>
        </w:r>
      </w:hyperlink>
      <w:r>
        <w:t xml:space="preserve"> </w:t>
      </w:r>
      <w:r>
        <w:t xml:space="preserve">maupun di yurisdiksi lain yang mengelola kewajiban kontinjensi secara terbuka.</w:t>
      </w:r>
    </w:p>
    <w:p>
      <w:pPr>
        <w:pStyle w:val="BodyText"/>
      </w:pPr>
      <w:r>
        <w:t xml:space="preserve">Satu catatan agar tidak salah harap: artikel ini tidak mengutip angka eksposur dari ketiga kanal itu. Angka tanpa tanggal dan tanpa cakupan lebih menyesatkan daripada berguna.</w:t>
      </w:r>
    </w:p>
    <w:bookmarkEnd w:id="22"/>
    <w:bookmarkStart w:id="25" w:name="Xd940a12b450a53665084bb9da1eff555a1ecdf6"/>
    <w:p>
      <w:pPr>
        <w:pStyle w:val="Heading2"/>
      </w:pPr>
      <w:r>
        <w:t xml:space="preserve">Empat pengendali yang menjaga eksposur penjaminan tetap terukur</w:t>
      </w:r>
    </w:p>
    <w:p>
      <w:pPr>
        <w:pStyle w:val="FirstParagraph"/>
      </w:pPr>
      <w:r>
        <w:t xml:space="preserve">Eksposur penjaminan dikendalikan lewat empat mekanisme yang saling mengunci: rasio kecukupan modal BUPI yang ditetapkan dan ditinjau Menteri Keuangan, prinsip pengendalian risiko keuangan negara sebagai landasan setiap keputusan, alokasi tahunan anggaran kewajiban penjaminan dalam APBN, dan Dana Cadangan Penjaminan sebagai rekening akumulatif.</w:t>
      </w:r>
    </w:p>
    <w:p>
      <w:pPr>
        <w:pStyle w:val="Compact"/>
        <w:numPr>
          <w:ilvl w:val="0"/>
          <w:numId w:val="1001"/>
        </w:numPr>
      </w:pPr>
      <w:r>
        <w:rPr>
          <w:b/>
          <w:bCs/>
        </w:rPr>
        <w:t xml:space="preserve">Rasio kecukupan modal BUPI.</w:t>
      </w:r>
      <w:r>
        <w:t xml:space="preserve"> </w:t>
      </w:r>
      <w:r>
        <w:t xml:space="preserve">Pasal 21 Perpres 78/2010 mewajibkan Menteri Keuangan menetapkan ketentuan kecukupan modal BUPI dan meninjaunya selambat-lambatnya setiap dua tahun, dengan mempertimbangkan kondisi perekonomian dan program percepatan infrastruktur. Yang dikunci regulasi adalah keberadaan batas maksimal penjaminan dan kadensa peninjauannya, bukan satu angka rasio permanen.</w:t>
      </w:r>
    </w:p>
    <w:p>
      <w:pPr>
        <w:pStyle w:val="Compact"/>
        <w:numPr>
          <w:ilvl w:val="0"/>
          <w:numId w:val="1001"/>
        </w:numPr>
      </w:pPr>
      <w:r>
        <w:rPr>
          <w:b/>
          <w:bCs/>
        </w:rPr>
        <w:t xml:space="preserve">Prinsip pengendalian risiko keuangan negara.</w:t>
      </w:r>
      <w:r>
        <w:t xml:space="preserve"> </w:t>
      </w:r>
      <w:r>
        <w:t xml:space="preserve">Pasal 2 huruf a menempatkan seluruh penjaminan infrastruktur di bawah prinsip menjaga kesinambungan APBN. Ini dasar untuk menolak usulan yang layak secara teknis tetapi tidak secara fiskal.</w:t>
      </w:r>
    </w:p>
    <w:p>
      <w:pPr>
        <w:pStyle w:val="Compact"/>
        <w:numPr>
          <w:ilvl w:val="0"/>
          <w:numId w:val="1001"/>
        </w:numPr>
      </w:pPr>
      <w:r>
        <w:rPr>
          <w:b/>
          <w:bCs/>
        </w:rPr>
        <w:t xml:space="preserve">Anggaran Kewajiban Penjaminan Pemerintah.</w:t>
      </w:r>
      <w:r>
        <w:t xml:space="preserve"> </w:t>
      </w:r>
      <w:r>
        <w:t xml:space="preserve">APBN mengalokasikan anggaran tahunan untuk potensi kewajiban penjaminan, sehingga kewajiban yang belum diakui di neraca tetap memiliki tempat dalam perencanaan belanja.</w:t>
      </w:r>
    </w:p>
    <w:p>
      <w:pPr>
        <w:pStyle w:val="Compact"/>
        <w:numPr>
          <w:ilvl w:val="0"/>
          <w:numId w:val="1001"/>
        </w:numPr>
      </w:pPr>
      <w:r>
        <w:rPr>
          <w:b/>
          <w:bCs/>
        </w:rPr>
        <w:t xml:space="preserve">Dana Cadangan Penjaminan.</w:t>
      </w:r>
      <w:r>
        <w:t xml:space="preserve"> </w:t>
      </w:r>
      <w:hyperlink r:id="rId23">
        <w:r>
          <w:rPr>
            <w:rStyle w:val="Hyperlink"/>
          </w:rPr>
          <w:t xml:space="preserve">PMK Nomor 69 Tahun 2023</w:t>
        </w:r>
      </w:hyperlink>
      <w:r>
        <w:t xml:space="preserve">, berlaku 12 Juli 2023, mengatur rekening khusus yang menampung akumulasi alokasi anggaran tersebut untuk pemenuhan kewajiban penjaminan bila diperlukan. Rekening ini terpisah dari kekayaan BUPI sendiri, yang menurut Pasal 19 Perpres 78/2010 bersumber dari penyertaan modal negara.</w:t>
      </w:r>
    </w:p>
    <w:p>
      <w:pPr>
        <w:pStyle w:val="FirstParagraph"/>
      </w:pPr>
      <w:r>
        <w:t xml:space="preserve">Di luar keempatnya, penjaminan disertai hak regres: hak penjamin menagih kembali PJPK atas nilai klaim yang dibayarkannya kepada penerima jaminan (Perpres 78/2010 Pasal 15).</w:t>
      </w:r>
    </w:p>
    <w:p>
      <w:pPr>
        <w:pStyle w:val="BodyText"/>
      </w:pPr>
      <w:r>
        <w:t xml:space="preserve">Pengendali berikutnya bekerja di tingkat proyek. Pasal 7 Perpres 78/2010 mengatur: bila sebuah usulan sudah lolos uji prosedur, kelayakan teknis, dan kelayakan finansial, tetapi nilainya akan membuat BUPI melampaui kecukupan modalnya, Menteri Keuangan dapat ikut menjamin berdasarkan pembagian risiko, dan keputusan BUPI mengikuti keputusan Menteri Keuangan. PMK 68/2024, berlaku 18 Oktober 2024, menamai dua bentuk itu Penjaminan Bersama dan Penjaminan BUPI. Kapasitas fiskal, bukan minat pasar, yang kerap menjadi batas sebenarnya di balik setiap</w:t>
      </w:r>
      <w:r>
        <w:t xml:space="preserve"> </w:t>
      </w:r>
      <w:hyperlink r:id="rId24">
        <w:r>
          <w:rPr>
            <w:rStyle w:val="Hyperlink"/>
          </w:rPr>
          <w:t xml:space="preserve">instrumen pembiayaan kreatif infrastruktur</w:t>
        </w:r>
      </w:hyperlink>
      <w:r>
        <w:t xml:space="preserve">.</w:t>
      </w:r>
    </w:p>
    <w:p>
      <w:pPr>
        <w:pStyle w:val="BodyText"/>
      </w:pPr>
      <w:r>
        <w:t xml:space="preserve">Penjaminan yang dibicarakan sepanjang artikel ini diterbitkan PT PII selaku Badan Usaha Penjaminan Infrastruktur. Memagari (</w:t>
      </w:r>
      <w:r>
        <w:rPr>
          <w:i/>
          <w:iCs/>
        </w:rPr>
        <w:t xml:space="preserve">ring-fence</w:t>
      </w:r>
      <w:r>
        <w:t xml:space="preserve">) kewajiban kontinjensi pemerintah adalah salah satu alasan pembentukannya pada 30 Desember 2009.</w:t>
      </w:r>
    </w:p>
    <w:bookmarkEnd w:id="25"/>
    <w:bookmarkStart w:id="27" w:name="X239edd53d645425a0ba76c3028cc8cede921c8f"/>
    <w:p>
      <w:pPr>
        <w:pStyle w:val="Heading2"/>
      </w:pPr>
      <w:r>
        <w:t xml:space="preserve">Yang tidak bisa Anda baca dari angka pengungkapan</w:t>
      </w:r>
    </w:p>
    <w:p>
      <w:pPr>
        <w:pStyle w:val="FirstParagraph"/>
      </w:pPr>
      <w:r>
        <w:t xml:space="preserve">Angka eksposur penjaminan yang diungkapkan adalah plafon kemungkinan, bukan perkiraan biaya. Ia tidak memberi tahu probabilitas klaim, waktunya, atau proyek mana yang sedang tertekan. Pengungkapan dirancang sebagai instrumen transparansi fiskal, bukan alat prediksi, dan itu sebabnya angkanya berada di catatan, bukan di neraca.</w:t>
      </w:r>
    </w:p>
    <w:p>
      <w:pPr>
        <w:pStyle w:val="BodyText"/>
      </w:pPr>
      <w:r>
        <w:t xml:space="preserve">Tiga hal berikut sering dibaca terbalik oleh pembaca yang belum terbiasa:</w:t>
      </w:r>
    </w:p>
    <w:p>
      <w:pPr>
        <w:pStyle w:val="Compact"/>
        <w:numPr>
          <w:ilvl w:val="0"/>
          <w:numId w:val="1002"/>
        </w:numPr>
      </w:pPr>
      <w:r>
        <w:rPr>
          <w:b/>
          <w:bCs/>
        </w:rPr>
        <w:t xml:space="preserve">Nilai proyek bukan nilai penjaminan.</w:t>
      </w:r>
      <w:r>
        <w:t xml:space="preserve"> </w:t>
      </w:r>
      <w:r>
        <w:t xml:space="preserve">Per Juni 2026, portofolio penjaminan yang diterbitkan BUPI tercatat 61 proyek (38 KPBU dan 23 non-KPBU) dengan nilai proyek lebih dari Rp 732 triliun dan nilai penjaminan Rp 113 triliun. Yang pertama mengukur besaran proyeknya, yang kedua cakupan jaminannya. Keduanya adalah angka portofolio penjamin, bukan angka eksposur yang diungkapkan dalam dokumen APBN.</w:t>
      </w:r>
    </w:p>
    <w:p>
      <w:pPr>
        <w:pStyle w:val="Compact"/>
        <w:numPr>
          <w:ilvl w:val="0"/>
          <w:numId w:val="1002"/>
        </w:numPr>
      </w:pPr>
      <w:r>
        <w:rPr>
          <w:b/>
          <w:bCs/>
        </w:rPr>
        <w:t xml:space="preserve">Deret portofolio bukan tren.</w:t>
      </w:r>
      <w:r>
        <w:t xml:space="preserve"> </w:t>
      </w:r>
      <w:r>
        <w:t xml:space="preserve">Angka kumulatif terbit dari rilis berbeda dengan cakupan penghitungan berbeda, sehingga perbandingan antar-tahun tidak selalu setara.</w:t>
      </w:r>
    </w:p>
    <w:p>
      <w:pPr>
        <w:pStyle w:val="Compact"/>
        <w:numPr>
          <w:ilvl w:val="0"/>
          <w:numId w:val="1002"/>
        </w:numPr>
      </w:pPr>
      <w:r>
        <w:rPr>
          <w:b/>
          <w:bCs/>
        </w:rPr>
        <w:t xml:space="preserve">Diam bukan sinyal.</w:t>
      </w:r>
      <w:r>
        <w:t xml:space="preserve"> </w:t>
      </w:r>
      <w:r>
        <w:t xml:space="preserve">Ketika sebuah kewajiban tidak muncul di neraca, yang terbaca hanyalah bahwa dua ambang pengakuan belum terlampaui, bukan penilaian atas kesehatan satu proyek tertentu.</w:t>
      </w:r>
    </w:p>
    <w:p>
      <w:pPr>
        <w:pStyle w:val="FirstParagraph"/>
      </w:pPr>
      <w:r>
        <w:t xml:space="preserve">Kerangka pengelolaan risiko fiskal di baliknya bukan hal baru. Pusat Pengelolaan Risiko Fiskal berdiri di lingkungan Kementerian Keuangan pada 2006 (</w:t>
      </w:r>
      <w:hyperlink r:id="rId26">
        <w:r>
          <w:rPr>
            <w:rStyle w:val="Hyperlink"/>
          </w:rPr>
          <w:t xml:space="preserve">KSAP</w:t>
        </w:r>
      </w:hyperlink>
      <w:r>
        <w:t xml:space="preserve">), jauh sebelum portofolio penjaminan sebesar hari ini terbentuk.</w:t>
      </w:r>
    </w:p>
    <w:bookmarkEnd w:id="27"/>
    <w:bookmarkStart w:id="34" w:name="faq-pertanyaan-yang-sering-diajukan"/>
    <w:p>
      <w:pPr>
        <w:pStyle w:val="Heading2"/>
      </w:pPr>
      <w:r>
        <w:t xml:space="preserve">FAQ (Pertanyaan yang Sering Diajukan)</w:t>
      </w:r>
    </w:p>
    <w:bookmarkStart w:id="28" w:name="X69fa91bb9a8e2b2f00b7df37f74aa606df275b1"/>
    <w:p>
      <w:pPr>
        <w:pStyle w:val="Heading3"/>
      </w:pPr>
      <w:r>
        <w:t xml:space="preserve">Apakah jaminan pemerintah muncul di neraca APBN?</w:t>
      </w:r>
    </w:p>
    <w:p>
      <w:pPr>
        <w:pStyle w:val="FirstParagraph"/>
      </w:pPr>
      <w:r>
        <w:t xml:space="preserve">Tidak, selama belum ada klaim. Jaminan yang belum ditagih tergolong kewajiban kontinjensi: diungkapkan dalam catatan laporan keuangan, bukan diakui sebagai utang di neraca. Menurut Standar Akuntansi Pemerintahan lampiran PP 71/2010, statusnya berubah hanya jika pengeluaran sumber daya menjadi besar kemungkinan dan nilainya dapat diukur secara andal.</w:t>
      </w:r>
    </w:p>
    <w:bookmarkEnd w:id="28"/>
    <w:bookmarkStart w:id="29" w:name="apa-itu-kewajiban-kontinjensi"/>
    <w:p>
      <w:pPr>
        <w:pStyle w:val="Heading3"/>
      </w:pPr>
      <w:r>
        <w:t xml:space="preserve">Apa itu kewajiban kontinjensi?</w:t>
      </w:r>
    </w:p>
    <w:p>
      <w:pPr>
        <w:pStyle w:val="FirstParagraph"/>
      </w:pPr>
      <w:r>
        <w:t xml:space="preserve">Kewajiban potensial yang timbul dari peristiwa masa lalu dan baru menjadi pasti bila satu peristiwa atau lebih di masa depan terjadi, di luar kendali penuh entitas. Termasuk pula kewajiban kini yang tidak diakui karena keluarnya sumber daya belum besar kemungkinannya atau jumlahnya belum terukur andal (PP 71/2010).</w:t>
      </w:r>
    </w:p>
    <w:bookmarkEnd w:id="29"/>
    <w:bookmarkStart w:id="30" w:name="X183c9f205921c29ae55cd83226bd871ea6f820d"/>
    <w:p>
      <w:pPr>
        <w:pStyle w:val="Heading3"/>
      </w:pPr>
      <w:r>
        <w:t xml:space="preserve">Di mana publik bisa membaca eksposur penjaminan pemerintah?</w:t>
      </w:r>
    </w:p>
    <w:p>
      <w:pPr>
        <w:pStyle w:val="FirstParagraph"/>
      </w:pPr>
      <w:r>
        <w:t xml:space="preserve">Ada tiga kanal. Catatan atas Laporan Keuangan dalam LKPP yang diaudit BPK; bab risiko fiskal pada Nota Keuangan yang menyertai RAPBN setiap tahun, dengan edisi terkini membahas RAPBN Tahun Anggaran 2027 yang dipublikasikan Agustus 2026; dan laporan triwulanan kewajiban kontinjensi dari BUPI kepada Kementerian Keuangan (Perpres 78/2010 Pasal 23).</w:t>
      </w:r>
    </w:p>
    <w:bookmarkEnd w:id="30"/>
    <w:bookmarkStart w:id="31" w:name="apa-itu-dana-cadangan-penjaminan"/>
    <w:p>
      <w:pPr>
        <w:pStyle w:val="Heading3"/>
      </w:pPr>
      <w:r>
        <w:t xml:space="preserve">Apa itu Dana Cadangan Penjaminan?</w:t>
      </w:r>
    </w:p>
    <w:p>
      <w:pPr>
        <w:pStyle w:val="FirstParagraph"/>
      </w:pPr>
      <w:r>
        <w:t xml:space="preserve">Rekening khusus yang menampung akumulasi alokasi anggaran kewajiban penjaminan pemerintah dari APBN, diatur PMK Nomor 69 Tahun 2023 yang berlaku 12 Juli 2023. Dana ini disiapkan untuk pemenuhan kewajiban penjaminan bila diperlukan, terpisah dari kekayaan BUPI yang menurut Perpres 78/2010 bersumber dari penyertaan modal negara.</w:t>
      </w:r>
    </w:p>
    <w:bookmarkEnd w:id="31"/>
    <w:bookmarkStart w:id="32" w:name="X316d317f0bea8a22d819c29ca38ba4a6efaf9a4"/>
    <w:p>
      <w:pPr>
        <w:pStyle w:val="Heading3"/>
      </w:pPr>
      <w:r>
        <w:t xml:space="preserve">Apakah jaminan pemerintah sama dengan subsidi?</w:t>
      </w:r>
    </w:p>
    <w:p>
      <w:pPr>
        <w:pStyle w:val="FirstParagraph"/>
      </w:pPr>
      <w:r>
        <w:t xml:space="preserve">Bukan. Subsidi adalah pengeluaran tunai yang pasti dan berulang dalam belanja negara. Jaminan pemerintah adalah pengalihan risiko bersyarat: kompensasi baru dibayar bila risiko yang dialokasikan ke PJPK dalam perjanjian KPBU benar-benar terjadi. Perpres 78/2010 menempatkannya di bawah prinsip menjaga kesinambungan APBN, bukan sebagai transfer rutin.</w:t>
      </w:r>
    </w:p>
    <w:bookmarkEnd w:id="32"/>
    <w:bookmarkStart w:id="33" w:name="X9524efa3ab819df7cab86cb2677afc118f58a5a"/>
    <w:p>
      <w:pPr>
        <w:pStyle w:val="Heading3"/>
      </w:pPr>
      <w:r>
        <w:t xml:space="preserve">Kapan Kementerian Keuangan ikut menjamin bersama?</w:t>
      </w:r>
    </w:p>
    <w:p>
      <w:pPr>
        <w:pStyle w:val="FirstParagraph"/>
      </w:pPr>
      <w:r>
        <w:t xml:space="preserve">Ketika usulan penjaminan dinyatakan layak secara prosedur, teknis, dan finansial, tetapi nilainya akan membuat BUPI melampaui kecukupan modalnya. Dalam kondisi itu Menteri Keuangan dapat ikut menjamin berdasarkan pembagian risiko, dan keputusan BUPI mengikuti keputusan Menteri Keuangan (Perpres 78/2010 Pasal 7). PMK 68/2024 menyebut skemanya Penjaminan Bersama.</w:t>
      </w:r>
    </w:p>
    <w:bookmarkEnd w:id="33"/>
    <w:bookmarkEnd w:id="34"/>
    <w:bookmarkStart w:id="35" w:name="kesimpulan"/>
    <w:p>
      <w:pPr>
        <w:pStyle w:val="Heading2"/>
      </w:pPr>
      <w:r>
        <w:t xml:space="preserve">Kesimpulan</w:t>
      </w:r>
    </w:p>
    <w:p>
      <w:pPr>
        <w:pStyle w:val="FirstParagraph"/>
      </w:pPr>
      <w:r>
        <w:t xml:space="preserve">Kembali ke pertanyaan tim keuangan di awal: janji itu memang tertulis, hanya bukan di baris utang. Ia ada di catatan laporan keuangan, di bab risiko fiskal Nota Keuangan, dan di laporan triwulanan yang wajib disampaikan kepada Kementerian Keuangan. Penjaminan pemerintah yang diterbitkan PT PII dirancang untuk meningkatkan kelayakan kredit proyek sekaligus memagari kewajiban kontinjensi APBN. Bagi PJPK yang sedang menyiapkan proyek KPBU, memahami arsitektur pencatatan ini membuat percakapan dengan auditor, DPRD, dan</w:t>
      </w:r>
      <w:r>
        <w:t xml:space="preserve"> </w:t>
      </w:r>
      <w:r>
        <w:rPr>
          <w:i/>
          <w:iCs/>
        </w:rPr>
        <w:t xml:space="preserve">lender</w:t>
      </w:r>
      <w:r>
        <w:t xml:space="preserve"> </w:t>
      </w:r>
      <w:r>
        <w:t xml:space="preserve">jauh lebih mudah.</w:t>
      </w:r>
    </w:p>
    <w:p>
      <w:pPr>
        <w:pStyle w:val="BodyText"/>
      </w:pPr>
      <w:r>
        <w:t xml:space="preserve">Skema jaminan pemerintah untuk proyek KPBU, termasuk cakupan dan tahapan penerbitannya, dapat ditelusuri lebih jauh di ptpii.co.id.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jdih.kemenkeu.go.id/dok/pmk-69-tahun-2023/summary" TargetMode="External" /><Relationship Type="http://schemas.openxmlformats.org/officeDocument/2006/relationships/hyperlink" Id="rId18" Target="https://peraturan.go.id/files/ps78-2010.pdf" TargetMode="External" /><Relationship Type="http://schemas.openxmlformats.org/officeDocument/2006/relationships/hyperlink" Id="rId26" Target="https://www.ksap.org/sap/risiko-fiskal-pemerintah-pusat-dan-daerah/" TargetMode="External" /><Relationship Type="http://schemas.openxmlformats.org/officeDocument/2006/relationships/hyperlink" Id="rId17" Target="https://www.ptpii.co.id/kpbu" TargetMode="External" /><Relationship Type="http://schemas.openxmlformats.org/officeDocument/2006/relationships/hyperlink" Id="rId24" Target="https://www.ptpii.co.id/pembiayaan-kreatif" TargetMode="External" /><Relationship Type="http://schemas.openxmlformats.org/officeDocument/2006/relationships/hyperlink" Id="rId21"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23" Target="https://jdih.kemenkeu.go.id/dok/pmk-69-tahun-2023/summary" TargetMode="External" /><Relationship Type="http://schemas.openxmlformats.org/officeDocument/2006/relationships/hyperlink" Id="rId18" Target="https://peraturan.go.id/files/ps78-2010.pdf" TargetMode="External" /><Relationship Type="http://schemas.openxmlformats.org/officeDocument/2006/relationships/hyperlink" Id="rId26" Target="https://www.ksap.org/sap/risiko-fiskal-pemerintah-pusat-dan-daerah/" TargetMode="External" /><Relationship Type="http://schemas.openxmlformats.org/officeDocument/2006/relationships/hyperlink" Id="rId17" Target="https://www.ptpii.co.id/kpbu" TargetMode="External" /><Relationship Type="http://schemas.openxmlformats.org/officeDocument/2006/relationships/hyperlink" Id="rId24" Target="https://www.ptpii.co.id/pembiayaan-kreatif" TargetMode="External" /><Relationship Type="http://schemas.openxmlformats.org/officeDocument/2006/relationships/hyperlink" Id="rId21"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2026-09-22T01:19:41Z</dcterms:created>
  <dcterms:modified xsi:type="dcterms:W3CDTF">2026-09-22T01:19:41Z</dcterms:modified>
</cp:coreProperties>
</file>

<file path=docProps/custom.xml><?xml version="1.0" encoding="utf-8"?>
<Properties xmlns="http://schemas.openxmlformats.org/officeDocument/2006/custom-properties" xmlns:vt="http://schemas.openxmlformats.org/officeDocument/2006/docPropsVTypes"/>
</file>