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image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6" w:name="article-metadata"/>
    <w:p>
      <w:pPr>
        <w:pStyle w:val="Heading1"/>
      </w:pPr>
      <w:r>
        <w:t xml:space="preserve">Article Metadata</w:t>
      </w:r>
    </w:p>
    <w:p>
      <w:pPr>
        <w:pStyle w:val="SourceCode"/>
      </w:pPr>
      <w:r>
        <w:rPr>
          <w:rStyle w:val="FunctionTok"/>
        </w:rPr>
        <w:t xml:space="preserve">title</w:t>
      </w:r>
      <w:r>
        <w:rPr>
          <w:rStyle w:val="KeywordTok"/>
        </w:rPr>
        <w:t xml:space="preserve">:</w:t>
      </w:r>
      <w:r>
        <w:rPr>
          <w:rStyle w:val="AttributeTok"/>
        </w:rPr>
        <w:t xml:space="preserve"> </w:t>
      </w:r>
      <w:r>
        <w:rPr>
          <w:rStyle w:val="StringTok"/>
        </w:rPr>
        <w:t xml:space="preserve">"Jaminan Pemerintah dan VGF: Kapan Proyek KPBU Perlu Keduanya"</w:t>
      </w:r>
      <w:r>
        <w:br/>
      </w:r>
      <w:r>
        <w:rPr>
          <w:rStyle w:val="FunctionTok"/>
        </w:rPr>
        <w:t xml:space="preserve">meta_title</w:t>
      </w:r>
      <w:r>
        <w:rPr>
          <w:rStyle w:val="KeywordTok"/>
        </w:rPr>
        <w:t xml:space="preserve">:</w:t>
      </w:r>
      <w:r>
        <w:rPr>
          <w:rStyle w:val="AttributeTok"/>
        </w:rPr>
        <w:t xml:space="preserve"> </w:t>
      </w:r>
      <w:r>
        <w:rPr>
          <w:rStyle w:val="StringTok"/>
        </w:rPr>
        <w:t xml:space="preserve">"Jaminan Pemerintah &amp; VGF: Kapan Proyek KPBU Perlu Keduanya"</w:t>
      </w:r>
      <w:r>
        <w:br/>
      </w:r>
      <w:r>
        <w:rPr>
          <w:rStyle w:val="FunctionTok"/>
        </w:rPr>
        <w:t xml:space="preserve">meta_description</w:t>
      </w:r>
      <w:r>
        <w:rPr>
          <w:rStyle w:val="KeywordTok"/>
        </w:rPr>
        <w:t xml:space="preserve">:</w:t>
      </w:r>
      <w:r>
        <w:rPr>
          <w:rStyle w:val="AttributeTok"/>
        </w:rPr>
        <w:t xml:space="preserve"> </w:t>
      </w:r>
      <w:r>
        <w:rPr>
          <w:rStyle w:val="StringTok"/>
        </w:rPr>
        <w:t xml:space="preserve">"Jaminan pemerintah, VGF, atau fasilitas penyiapan? Kenali celah proyek KPBU Anda, urutan pengajuan lima dukungan PMK 68/2024, dan kombinasi yang terbukti."</w:t>
      </w:r>
      <w:r>
        <w:br/>
      </w:r>
      <w:r>
        <w:rPr>
          <w:rStyle w:val="FunctionTok"/>
        </w:rPr>
        <w:t xml:space="preserve">slug</w:t>
      </w:r>
      <w:r>
        <w:rPr>
          <w:rStyle w:val="KeywordTok"/>
        </w:rPr>
        <w:t xml:space="preserve">:</w:t>
      </w:r>
      <w:r>
        <w:rPr>
          <w:rStyle w:val="AttributeTok"/>
        </w:rPr>
        <w:t xml:space="preserve"> </w:t>
      </w:r>
      <w:r>
        <w:rPr>
          <w:rStyle w:val="StringTok"/>
        </w:rPr>
        <w:t xml:space="preserve">"jaminan-pemerintah-vgf-kombinasi-dukungan-kpbu"</w:t>
      </w:r>
      <w:r>
        <w:br/>
      </w:r>
      <w:r>
        <w:rPr>
          <w:rStyle w:val="FunctionTok"/>
        </w:rPr>
        <w:t xml:space="preserve">language</w:t>
      </w:r>
      <w:r>
        <w:rPr>
          <w:rStyle w:val="KeywordTok"/>
        </w:rPr>
        <w:t xml:space="preserve">:</w:t>
      </w:r>
      <w:r>
        <w:rPr>
          <w:rStyle w:val="AttributeTok"/>
        </w:rPr>
        <w:t xml:space="preserve"> </w:t>
      </w:r>
      <w:r>
        <w:rPr>
          <w:rStyle w:val="StringTok"/>
        </w:rPr>
        <w:t xml:space="preserve">"id"</w:t>
      </w:r>
      <w:r>
        <w:br/>
      </w:r>
      <w:r>
        <w:rPr>
          <w:rStyle w:val="FunctionTok"/>
        </w:rPr>
        <w:t xml:space="preserve">primary_keyword</w:t>
      </w:r>
      <w:r>
        <w:rPr>
          <w:rStyle w:val="KeywordTok"/>
        </w:rPr>
        <w:t xml:space="preserve">:</w:t>
      </w:r>
      <w:r>
        <w:rPr>
          <w:rStyle w:val="AttributeTok"/>
        </w:rPr>
        <w:t xml:space="preserve"> </w:t>
      </w:r>
      <w:r>
        <w:rPr>
          <w:rStyle w:val="StringTok"/>
        </w:rPr>
        <w:t xml:space="preserve">"Jaminan Pemerintah"</w:t>
      </w:r>
      <w:r>
        <w:br/>
      </w:r>
      <w:r>
        <w:rPr>
          <w:rStyle w:val="FunctionTok"/>
        </w:rPr>
        <w:t xml:space="preserve">secondary_keywords</w:t>
      </w:r>
      <w:r>
        <w:rPr>
          <w:rStyle w:val="KeywordTok"/>
        </w:rPr>
        <w:t xml:space="preserve">:</w:t>
      </w:r>
      <w:r>
        <w:rPr>
          <w:rStyle w:val="AttributeTok"/>
        </w:rPr>
        <w:t xml:space="preserve"> </w:t>
      </w:r>
      <w:r>
        <w:rPr>
          <w:rStyle w:val="KeywordTok"/>
        </w:rPr>
        <w:t xml:space="preserve">[</w:t>
      </w:r>
      <w:r>
        <w:rPr>
          <w:rStyle w:val="StringTok"/>
        </w:rPr>
        <w:t xml:space="preserve">"dukungan pemerintah KPBU"</w:t>
      </w:r>
      <w:r>
        <w:rPr>
          <w:rStyle w:val="KeywordTok"/>
        </w:rPr>
        <w:t xml:space="preserve">,</w:t>
      </w:r>
      <w:r>
        <w:rPr>
          <w:rStyle w:val="AttributeTok"/>
        </w:rPr>
        <w:t xml:space="preserve"> </w:t>
      </w:r>
      <w:r>
        <w:rPr>
          <w:rStyle w:val="StringTok"/>
        </w:rPr>
        <w:t xml:space="preserve">"Dukungan Kelayakan VGF"</w:t>
      </w:r>
      <w:r>
        <w:rPr>
          <w:rStyle w:val="KeywordTok"/>
        </w:rPr>
        <w:t xml:space="preserve">,</w:t>
      </w:r>
      <w:r>
        <w:rPr>
          <w:rStyle w:val="AttributeTok"/>
        </w:rPr>
        <w:t xml:space="preserve"> </w:t>
      </w:r>
      <w:r>
        <w:rPr>
          <w:rStyle w:val="StringTok"/>
        </w:rPr>
        <w:t xml:space="preserve">"penjaminan infrastruktur"</w:t>
      </w:r>
      <w:r>
        <w:rPr>
          <w:rStyle w:val="KeywordTok"/>
        </w:rPr>
        <w:t xml:space="preserve">,</w:t>
      </w:r>
      <w:r>
        <w:rPr>
          <w:rStyle w:val="AttributeTok"/>
        </w:rPr>
        <w:t xml:space="preserve"> </w:t>
      </w:r>
      <w:r>
        <w:rPr>
          <w:rStyle w:val="StringTok"/>
        </w:rPr>
        <w:t xml:space="preserve">"Fasilitas Penyiapan Proyek PDF"</w:t>
      </w:r>
      <w:r>
        <w:rPr>
          <w:rStyle w:val="KeywordTok"/>
        </w:rPr>
        <w:t xml:space="preserve">,</w:t>
      </w:r>
      <w:r>
        <w:rPr>
          <w:rStyle w:val="AttributeTok"/>
        </w:rPr>
        <w:t xml:space="preserve"> </w:t>
      </w:r>
      <w:r>
        <w:rPr>
          <w:rStyle w:val="StringTok"/>
        </w:rPr>
        <w:t xml:space="preserve">"Availability Payment"</w:t>
      </w:r>
      <w:r>
        <w:rPr>
          <w:rStyle w:val="KeywordTok"/>
        </w:rPr>
        <w:t xml:space="preserve">,</w:t>
      </w:r>
      <w:r>
        <w:rPr>
          <w:rStyle w:val="AttributeTok"/>
        </w:rPr>
        <w:t xml:space="preserve"> </w:t>
      </w:r>
      <w:r>
        <w:rPr>
          <w:rStyle w:val="StringTok"/>
        </w:rPr>
        <w:t xml:space="preserve">"PMK 68 Tahun 2024"</w:t>
      </w:r>
      <w:r>
        <w:rPr>
          <w:rStyle w:val="KeywordTok"/>
        </w:rPr>
        <w:t xml:space="preserve">,</w:t>
      </w:r>
      <w:r>
        <w:rPr>
          <w:rStyle w:val="AttributeTok"/>
        </w:rPr>
        <w:t xml:space="preserve"> </w:t>
      </w:r>
      <w:r>
        <w:rPr>
          <w:rStyle w:val="StringTok"/>
        </w:rPr>
        <w:t xml:space="preserve">"kelayakan finansial"</w:t>
      </w:r>
      <w:r>
        <w:rPr>
          <w:rStyle w:val="KeywordTok"/>
        </w:rPr>
        <w:t xml:space="preserve">,</w:t>
      </w:r>
      <w:r>
        <w:rPr>
          <w:rStyle w:val="AttributeTok"/>
        </w:rPr>
        <w:t xml:space="preserve"> </w:t>
      </w:r>
      <w:r>
        <w:rPr>
          <w:rStyle w:val="StringTok"/>
        </w:rPr>
        <w:t xml:space="preserve">"prinsip pengguna membayar"</w:t>
      </w:r>
      <w:r>
        <w:rPr>
          <w:rStyle w:val="KeywordTok"/>
        </w:rPr>
        <w:t xml:space="preserve">,</w:t>
      </w:r>
      <w:r>
        <w:rPr>
          <w:rStyle w:val="AttributeTok"/>
        </w:rPr>
        <w:t xml:space="preserve"> </w:t>
      </w:r>
      <w:r>
        <w:rPr>
          <w:rStyle w:val="StringTok"/>
        </w:rPr>
        <w:t xml:space="preserve">"PJPK"</w:t>
      </w:r>
      <w:r>
        <w:rPr>
          <w:rStyle w:val="KeywordTok"/>
        </w:rPr>
        <w:t xml:space="preserve">,</w:t>
      </w:r>
      <w:r>
        <w:rPr>
          <w:rStyle w:val="AttributeTok"/>
        </w:rPr>
        <w:t xml:space="preserve"> </w:t>
      </w:r>
      <w:r>
        <w:rPr>
          <w:rStyle w:val="StringTok"/>
        </w:rPr>
        <w:t xml:space="preserve">"prastudi kelayakan"</w:t>
      </w:r>
      <w:r>
        <w:rPr>
          <w:rStyle w:val="KeywordTok"/>
        </w:rPr>
        <w:t xml:space="preserve">]</w:t>
      </w:r>
      <w:r>
        <w:br/>
      </w:r>
      <w:r>
        <w:rPr>
          <w:rStyle w:val="FunctionTok"/>
        </w:rPr>
        <w:t xml:space="preserve">internal_links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"https://www.ptpii.co.id/kpbu"</w:t>
      </w:r>
      <w:r>
        <w:br/>
      </w:r>
      <w:r>
        <w:rPr>
          <w:rStyle w:val="AttributeTok"/>
        </w:rPr>
        <w:t xml:space="preserve">    </w:t>
      </w:r>
      <w:r>
        <w:rPr>
          <w:rStyle w:val="FunctionTok"/>
        </w:rPr>
        <w:t xml:space="preserve">anchor</w:t>
      </w:r>
      <w:r>
        <w:rPr>
          <w:rStyle w:val="KeywordTok"/>
        </w:rPr>
        <w:t xml:space="preserve">:</w:t>
      </w:r>
      <w:r>
        <w:rPr>
          <w:rStyle w:val="AttributeTok"/>
        </w:rPr>
        <w:t xml:space="preserve"> </w:t>
      </w:r>
      <w:r>
        <w:rPr>
          <w:rStyle w:val="StringTok"/>
        </w:rPr>
        <w:t xml:space="preserve">"dukungan pemerintah dalam proyek KPBU"</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"https://www.ptpii.co.id/pembiayaan-kreatif"</w:t>
      </w:r>
      <w:r>
        <w:br/>
      </w:r>
      <w:r>
        <w:rPr>
          <w:rStyle w:val="AttributeTok"/>
        </w:rPr>
        <w:t xml:space="preserve">    </w:t>
      </w:r>
      <w:r>
        <w:rPr>
          <w:rStyle w:val="FunctionTok"/>
        </w:rPr>
        <w:t xml:space="preserve">anchor</w:t>
      </w:r>
      <w:r>
        <w:rPr>
          <w:rStyle w:val="KeywordTok"/>
        </w:rPr>
        <w:t xml:space="preserve">:</w:t>
      </w:r>
      <w:r>
        <w:rPr>
          <w:rStyle w:val="AttributeTok"/>
        </w:rPr>
        <w:t xml:space="preserve"> </w:t>
      </w:r>
      <w:r>
        <w:rPr>
          <w:rStyle w:val="StringTok"/>
        </w:rPr>
        <w:t xml:space="preserve">"alternatif pembiayaan kreatif"</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"https://www.ptpii.co.id/public-private-partnership"</w:t>
      </w:r>
      <w:r>
        <w:br/>
      </w:r>
      <w:r>
        <w:rPr>
          <w:rStyle w:val="AttributeTok"/>
        </w:rPr>
        <w:t xml:space="preserve">    </w:t>
      </w:r>
      <w:r>
        <w:rPr>
          <w:rStyle w:val="FunctionTok"/>
        </w:rPr>
        <w:t xml:space="preserve">anchor</w:t>
      </w:r>
      <w:r>
        <w:rPr>
          <w:rStyle w:val="KeywordTok"/>
        </w:rPr>
        <w:t xml:space="preserve">:</w:t>
      </w:r>
      <w:r>
        <w:rPr>
          <w:rStyle w:val="AttributeTok"/>
        </w:rPr>
        <w:t xml:space="preserve"> </w:t>
      </w:r>
      <w:r>
        <w:rPr>
          <w:rStyle w:val="StringTok"/>
        </w:rPr>
        <w:t xml:space="preserve">"skema public private partnership"</w:t>
      </w:r>
      <w:r>
        <w:br/>
      </w:r>
      <w:r>
        <w:rPr>
          <w:rStyle w:val="FunctionTok"/>
        </w:rPr>
        <w:t xml:space="preserve">external_citations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"https://jdih.kemenkeu.go.id/dok/pmk-68-tahun-2024/summary"</w:t>
      </w:r>
      <w:r>
        <w:br/>
      </w:r>
      <w:r>
        <w:rPr>
          <w:rStyle w:val="AttributeTok"/>
        </w:rPr>
        <w:t xml:space="preserve">    </w:t>
      </w:r>
      <w:r>
        <w:rPr>
          <w:rStyle w:val="FunctionTok"/>
        </w:rPr>
        <w:t xml:space="preserve">context</w:t>
      </w:r>
      <w:r>
        <w:rPr>
          <w:rStyle w:val="KeywordTok"/>
        </w:rPr>
        <w:t xml:space="preserve">:</w:t>
      </w:r>
      <w:r>
        <w:rPr>
          <w:rStyle w:val="AttributeTok"/>
        </w:rPr>
        <w:t xml:space="preserve"> </w:t>
      </w:r>
      <w:r>
        <w:rPr>
          <w:rStyle w:val="StringTok"/>
        </w:rPr>
        <w:t xml:space="preserve">"Lima bentuk Dukungan Pemerintah, berlaku 18 Oktober 2024, tujuh peraturan yang dicabut"</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"https://kpbu.kemenkeu.go.id/read/1098-1261/pjpk/dukungan-pemerintah/dukungan-kelayakan"</w:t>
      </w:r>
      <w:r>
        <w:br/>
      </w:r>
      <w:r>
        <w:rPr>
          <w:rStyle w:val="AttributeTok"/>
        </w:rPr>
        <w:t xml:space="preserve">    </w:t>
      </w:r>
      <w:r>
        <w:rPr>
          <w:rStyle w:val="FunctionTok"/>
        </w:rPr>
        <w:t xml:space="preserve">context</w:t>
      </w:r>
      <w:r>
        <w:rPr>
          <w:rStyle w:val="KeywordTok"/>
        </w:rPr>
        <w:t xml:space="preserve">:</w:t>
      </w:r>
      <w:r>
        <w:rPr>
          <w:rStyle w:val="AttributeTok"/>
        </w:rPr>
        <w:t xml:space="preserve"> </w:t>
      </w:r>
      <w:r>
        <w:rPr>
          <w:rStyle w:val="StringTok"/>
        </w:rPr>
        <w:t xml:space="preserve">"Lima kriteria Dukungan Kelayakan, ambang Rp 100 miliar, empat tahap Komite Dukungan Kelayakan"</w:t>
      </w:r>
      <w:r>
        <w:br/>
      </w:r>
      <w:r>
        <w:rPr>
          <w:rStyle w:val="FunctionTok"/>
        </w:rPr>
        <w:t xml:space="preserve">brief_id</w:t>
      </w:r>
      <w:r>
        <w:rPr>
          <w:rStyle w:val="KeywordTok"/>
        </w:rPr>
        <w:t xml:space="preserve">:</w:t>
      </w:r>
      <w:r>
        <w:rPr>
          <w:rStyle w:val="AttributeTok"/>
        </w:rPr>
        <w:t xml:space="preserve"> </w:t>
      </w:r>
      <w:r>
        <w:rPr>
          <w:rStyle w:val="StringTok"/>
        </w:rPr>
        <w:t xml:space="preserve">"jaminan-pemerintah-02"</w:t>
      </w:r>
      <w:r>
        <w:br/>
      </w:r>
      <w:r>
        <w:rPr>
          <w:rStyle w:val="FunctionTok"/>
        </w:rPr>
        <w:t xml:space="preserve">target_word_count</w:t>
      </w:r>
      <w:r>
        <w:rPr>
          <w:rStyle w:val="KeywordTok"/>
        </w:rPr>
        <w:t xml:space="preserve">:</w:t>
      </w:r>
      <w:r>
        <w:rPr>
          <w:rStyle w:val="AttributeTok"/>
        </w:rPr>
        <w:t xml:space="preserve"> </w:t>
      </w:r>
      <w:r>
        <w:rPr>
          <w:rStyle w:val="DecValTok"/>
        </w:rPr>
        <w:t xml:space="preserve">1650</w:t>
      </w:r>
      <w:r>
        <w:br/>
      </w:r>
      <w:r>
        <w:rPr>
          <w:rStyle w:val="FunctionTok"/>
        </w:rPr>
        <w:t xml:space="preserve">publish_month</w:t>
      </w:r>
      <w:r>
        <w:rPr>
          <w:rStyle w:val="KeywordTok"/>
        </w:rPr>
        <w:t xml:space="preserve">:</w:t>
      </w:r>
      <w:r>
        <w:rPr>
          <w:rStyle w:val="AttributeTok"/>
        </w:rPr>
        <w:t xml:space="preserve"> </w:t>
      </w:r>
      <w:r>
        <w:rPr>
          <w:rStyle w:val="StringTok"/>
        </w:rPr>
        <w:t xml:space="preserve">"2026-09"</w:t>
      </w:r>
      <w:r>
        <w:br/>
      </w:r>
      <w:r>
        <w:rPr>
          <w:rStyle w:val="FunctionTok"/>
        </w:rPr>
        <w:t xml:space="preserve">date_modified</w:t>
      </w:r>
      <w:r>
        <w:rPr>
          <w:rStyle w:val="KeywordTok"/>
        </w:rPr>
        <w:t xml:space="preserve">:</w:t>
      </w:r>
      <w:r>
        <w:rPr>
          <w:rStyle w:val="AttributeTok"/>
        </w:rPr>
        <w:t xml:space="preserve"> </w:t>
      </w:r>
      <w:r>
        <w:rPr>
          <w:rStyle w:val="StringTok"/>
        </w:rPr>
        <w:t xml:space="preserve">"2026-09-22"</w:t>
      </w:r>
      <w:r>
        <w:br/>
      </w:r>
      <w:r>
        <w:rPr>
          <w:rStyle w:val="FunctionTok"/>
        </w:rPr>
        <w:t xml:space="preserve">word_count</w:t>
      </w:r>
      <w:r>
        <w:rPr>
          <w:rStyle w:val="KeywordTok"/>
        </w:rPr>
        <w:t xml:space="preserve">:</w:t>
      </w:r>
      <w:r>
        <w:rPr>
          <w:rStyle w:val="AttributeTok"/>
        </w:rPr>
        <w:t xml:space="preserve"> </w:t>
      </w:r>
      <w:r>
        <w:rPr>
          <w:rStyle w:val="DecValTok"/>
        </w:rPr>
        <w:t xml:space="preserve">1690</w:t>
      </w:r>
    </w:p>
    <w:p>
      <w:r>
        <w:pict>
          <v:rect style="width:0;height:1.5pt" o:hralign="center" o:hrstd="t" o:hr="t"/>
        </w:pict>
      </w:r>
    </w:p>
    <w:bookmarkEnd w:id="16"/>
    <w:bookmarkStart w:id="35" w:name="X2bac1fb40477b30be2fde4f6f309015dd0b7e7e"/>
    <w:p>
      <w:pPr>
        <w:pStyle w:val="Heading1"/>
      </w:pPr>
      <w:r>
        <w:t xml:space="preserve">Jaminan Pemerintah dan VGF: Kapan Proyek KPBU Perlu Keduanya</w:t>
      </w:r>
    </w:p>
    <w:p>
      <w:pPr>
        <w:pStyle w:val="FirstParagraph"/>
      </w:pPr>
      <w:r>
        <w:t xml:space="preserve">Sebuah tim penyiapan menutup prastudi kelayakan, melihat celah pembiayaan, lalu mengajukan semuanya sekaligus. Jaminan pemerintah yang dibahas di sini berarti penjaminan infrastruktur pada proyek KPBU (</w:t>
      </w:r>
      <w:r>
        <w:rPr>
          <w:i/>
          <w:iCs/>
        </w:rPr>
        <w:t xml:space="preserve">Kerja Sama Pemerintah dengan Badan Usaha</w:t>
      </w:r>
      <w:r>
        <w:t xml:space="preserve">). Istilahnya tidak merujuk pada jaminan sosial, tidak pula pada agunan kebendaan atau jaminan pelaksanaan dalam pengadaan barang/jasa. Setahun berlalu, korespondensi tim tadi masih berputar, karena tiap bentuk dukungan menjawab pertanyaan berbeda dan masuk pada titik berbeda dalam umur proyek. Artikel ini membalik urutannya: diagnosis dulu celah yang benar-benar ada, dan instrumen tepat dalam kerangka</w:t>
      </w:r>
      <w:r>
        <w:t xml:space="preserve"> </w:t>
      </w:r>
      <w:hyperlink r:id="rId17">
        <w:r>
          <w:rPr>
            <w:rStyle w:val="Hyperlink"/>
          </w:rPr>
          <w:t xml:space="preserve">dukungan pemerintah dalam proyek KPBU</w:t>
        </w:r>
      </w:hyperlink>
      <w:r>
        <w:t xml:space="preserve"> </w:t>
      </w:r>
      <w:r>
        <w:t xml:space="preserve">akan memilih dirinya sendiri.</w:t>
      </w:r>
    </w:p>
    <w:p>
      <w:pPr>
        <w:pStyle w:val="BlockText"/>
      </w:pPr>
      <w:r>
        <w:rPr>
          <w:b/>
          <w:bCs/>
        </w:rPr>
        <w:t xml:space="preserve">Ringkasnya:</w:t>
      </w:r>
      <w:r>
        <w:t xml:space="preserve"> </w:t>
      </w:r>
      <w:r>
        <w:t xml:space="preserve">Dukungan pemerintah untuk proyek KPBU adalah kumpulan instrumen fiskal dan non-fiskal yang diatur PMK 68 Tahun 2024, terdiri atas Fasilitas Pra-PDF, Fasilitas PDF, Penjaminan Infrastruktur, Dukungan Kelayakan (VGF), dan pemrosesan dokumen Availability Payment. Setiap bentuk menjawab celah proyek yang berbeda, dari kesiapan dokumen hingga kelayakan finansial, sehingga diajukan sesuai tahap proyek, bukan sekaligus.</w:t>
      </w:r>
    </w:p>
    <w:bookmarkStart w:id="19" w:name="X2133210446a30991cba8591d2234b3e93b0d77e"/>
    <w:p>
      <w:pPr>
        <w:pStyle w:val="Heading2"/>
      </w:pPr>
      <w:r>
        <w:t xml:space="preserve">Lima bentuk dukungan pemerintah untuk proyek KPBU menurut PMK 68/2024</w:t>
      </w:r>
    </w:p>
    <w:p>
      <w:pPr>
        <w:pStyle w:val="FirstParagraph"/>
      </w:pPr>
      <w:r>
        <w:t xml:space="preserve">PMK 68 Tahun 2024 Pasal 4 ayat (1) menyebut lima bentuk Dukungan Pemerintah, dirangkai dengan frasa</w:t>
      </w:r>
      <w:r>
        <w:t xml:space="preserve"> </w:t>
      </w:r>
      <w:r>
        <w:t xml:space="preserve">“dan/atau”</w:t>
      </w:r>
      <w:r>
        <w:t xml:space="preserve">: Fasilitas Pra-PDF, Fasilitas PDF, Penjaminan Infrastruktur, Dukungan Kelayakan, dan/atau pemrosesan dokumen Availability Payment. Frasa penghubung itu bukan detail sepele. Secara konstruksi hukum kelimanya tidak saling meniadakan, sepanjang masing-masing memang menjawab celah yang berbeda.</w:t>
      </w:r>
    </w:p>
    <w:p>
      <w:pPr>
        <w:pStyle w:val="Compact"/>
        <w:numPr>
          <w:ilvl w:val="0"/>
          <w:numId w:val="1001"/>
        </w:numPr>
      </w:pPr>
      <w:r>
        <w:rPr>
          <w:b/>
          <w:bCs/>
        </w:rPr>
        <w:t xml:space="preserve">Fasilitas Pra-PDF dan Fasilitas PDF</w:t>
      </w:r>
      <w:r>
        <w:t xml:space="preserve"> </w:t>
      </w:r>
      <w:r>
        <w:t xml:space="preserve">(</w:t>
      </w:r>
      <w:r>
        <w:rPr>
          <w:i/>
          <w:iCs/>
        </w:rPr>
        <w:t xml:space="preserve">Project Development Facility</w:t>
      </w:r>
      <w:r>
        <w:t xml:space="preserve">, fasilitas penyiapan proyek): mendanai penyiapan hingga dokumen dan struktur transaksinya layak dilelang.</w:t>
      </w:r>
    </w:p>
    <w:p>
      <w:pPr>
        <w:pStyle w:val="Compact"/>
        <w:numPr>
          <w:ilvl w:val="0"/>
          <w:numId w:val="1001"/>
        </w:numPr>
      </w:pPr>
      <w:r>
        <w:rPr>
          <w:b/>
          <w:bCs/>
        </w:rPr>
        <w:t xml:space="preserve">Penjaminan Infrastruktur</w:t>
      </w:r>
      <w:r>
        <w:t xml:space="preserve">: jaminan atas kewajiban finansial PJPK (</w:t>
      </w:r>
      <w:r>
        <w:rPr>
          <w:i/>
          <w:iCs/>
        </w:rPr>
        <w:t xml:space="preserve">Penanggung Jawab Proyek Kerja Sama</w:t>
      </w:r>
      <w:r>
        <w:t xml:space="preserve">) membayar kompensasi bila risiko tanggung jawabnya terjadi.</w:t>
      </w:r>
    </w:p>
    <w:p>
      <w:pPr>
        <w:pStyle w:val="Compact"/>
        <w:numPr>
          <w:ilvl w:val="0"/>
          <w:numId w:val="1001"/>
        </w:numPr>
      </w:pPr>
      <w:r>
        <w:rPr>
          <w:b/>
          <w:bCs/>
        </w:rPr>
        <w:t xml:space="preserve">Dukungan Kelayakan (VGF)</w:t>
      </w:r>
      <w:r>
        <w:t xml:space="preserve">: kontribusi fiskal atas sebagian biaya konstruksi proyek yang sudah layak ekonomi namun belum layak finansial.</w:t>
      </w:r>
    </w:p>
    <w:p>
      <w:pPr>
        <w:pStyle w:val="Compact"/>
        <w:numPr>
          <w:ilvl w:val="0"/>
          <w:numId w:val="1001"/>
        </w:numPr>
      </w:pPr>
      <w:r>
        <w:rPr>
          <w:b/>
          <w:bCs/>
        </w:rPr>
        <w:t xml:space="preserve">Pemrosesan dokumen Availability Payment</w:t>
      </w:r>
      <w:r>
        <w:t xml:space="preserve">: Konfirmasi Pendahuluan dan Konfirmasi Final oleh Kementerian Keuangan atas mekanisme pembayaran berbasis ketersediaan layanan.</w:t>
      </w:r>
    </w:p>
    <w:p>
      <w:pPr>
        <w:pStyle w:val="FirstParagraph"/>
      </w:pPr>
      <w:r>
        <w:t xml:space="preserve">Satu PMK ini mengonsolidasikan rantai aturan lama: tujuh peraturan menteri keuangan dicabut sekaligus, berlaku sejak 18 Oktober 2024 (</w:t>
      </w:r>
      <w:hyperlink r:id="rId18">
        <w:r>
          <w:rPr>
            <w:rStyle w:val="Hyperlink"/>
          </w:rPr>
          <w:t xml:space="preserve">JDIH Kementerian Keuangan</w:t>
        </w:r>
      </w:hyperlink>
      <w:r>
        <w:t xml:space="preserve">). Konsekuensinya terasa di lapangan. Sebagian halaman penjelas di portal pemerintah masih mencantumkan PMK 223/2012 dan PMK 170/2018 sebagai dasar hukum, padahal keduanya ikut dicabut. Isi kriterianya masih dipakai, rujukan hukumnya tidak.</w:t>
      </w:r>
    </w:p>
    <w:p>
      <w:pPr>
        <w:pStyle w:val="BodyText"/>
      </w:pPr>
      <w:r>
        <w:t xml:space="preserve">Satu batas wilayah perlu ditegaskan: memilih antara Availability Payment dan tarif pengguna adalah keputusan desain skema tersendiri. Di sini, Availability Payment hanya muncul sebagai satu bentuk dukungan yang diajukan PJPK.</w:t>
      </w:r>
    </w:p>
    <w:bookmarkEnd w:id="19"/>
    <w:bookmarkStart w:id="21" w:name="X27609cf235cb53e6b183ed83d8acbc152533301"/>
    <w:p>
      <w:pPr>
        <w:pStyle w:val="Heading2"/>
      </w:pPr>
      <w:r>
        <w:t xml:space="preserve">Celah apa yang sebenarnya dimiliki proyek Anda?</w:t>
      </w:r>
    </w:p>
    <w:p>
      <w:pPr>
        <w:pStyle w:val="FirstParagraph"/>
      </w:pPr>
      <w:r>
        <w:t xml:space="preserve">Ada empat celah yang lazim ditemui, masing-masing dengan instrumen pasangannya: proyek belum siap ditransaksikan (Fasilitas Pra-PDF atau PDF), layak ekonomi tetapi belum layak finansial (Dukungan Kelayakan), risiko sisi pemerintah membuat</w:t>
      </w:r>
      <w:r>
        <w:t xml:space="preserve"> </w:t>
      </w:r>
      <w:r>
        <w:rPr>
          <w:i/>
          <w:iCs/>
        </w:rPr>
        <w:t xml:space="preserve">lender</w:t>
      </w:r>
      <w:r>
        <w:t xml:space="preserve"> </w:t>
      </w:r>
      <w:r>
        <w:t xml:space="preserve">ragu (Penjaminan Infrastruktur), dan mekanisme pengembalian investasi yang perlu dikonfirmasi ke Kementerian Keuangan (pemrosesan dokumen Availability Payment). Diagnosis menentukan pengajuan, bukan sebaliknya.</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Celah proyek</w:t>
            </w:r>
          </w:p>
        </w:tc>
        <w:tc>
          <w:tcPr/>
          <w:p>
            <w:pPr>
              <w:pStyle w:val="Compact"/>
            </w:pPr>
            <w:r>
              <w:t xml:space="preserve">Pertanyaan diagnostik</w:t>
            </w:r>
          </w:p>
        </w:tc>
        <w:tc>
          <w:tcPr/>
          <w:p>
            <w:pPr>
              <w:pStyle w:val="Compact"/>
            </w:pPr>
            <w:r>
              <w:t xml:space="preserve">Instrumen yang dituju</w:t>
            </w:r>
          </w:p>
        </w:tc>
      </w:tr>
      <w:tr>
        <w:tc>
          <w:tcPr/>
          <w:p>
            <w:pPr>
              <w:pStyle w:val="Compact"/>
            </w:pPr>
            <w:r>
              <w:t xml:space="preserve">Belum siap ditransaksikan</w:t>
            </w:r>
          </w:p>
        </w:tc>
        <w:tc>
          <w:tcPr/>
          <w:p>
            <w:pPr>
              <w:pStyle w:val="Compact"/>
            </w:pPr>
            <w:r>
              <w:t xml:space="preserve">Kajian dan struktur transaksi sudah matang?</w:t>
            </w:r>
          </w:p>
        </w:tc>
        <w:tc>
          <w:tcPr/>
          <w:p>
            <w:pPr>
              <w:pStyle w:val="Compact"/>
            </w:pPr>
            <w:r>
              <w:t xml:space="preserve">Fasilitas Pra-PDF / Fasilitas PDF</w:t>
            </w:r>
          </w:p>
        </w:tc>
      </w:tr>
      <w:tr>
        <w:tc>
          <w:tcPr/>
          <w:p>
            <w:pPr>
              <w:pStyle w:val="Compact"/>
            </w:pPr>
            <w:r>
              <w:t xml:space="preserve">Layak ekonomi, belum layak finansial</w:t>
            </w:r>
          </w:p>
        </w:tc>
        <w:tc>
          <w:tcPr/>
          <w:p>
            <w:pPr>
              <w:pStyle w:val="Compact"/>
            </w:pPr>
            <w:r>
              <w:t xml:space="preserve">Manfaat sosial jelas, imbal hasil di bawah ambang investor?</w:t>
            </w:r>
          </w:p>
        </w:tc>
        <w:tc>
          <w:tcPr/>
          <w:p>
            <w:pPr>
              <w:pStyle w:val="Compact"/>
            </w:pPr>
            <w:r>
              <w:t xml:space="preserve">Dukungan Kelayakan (VGF)</w:t>
            </w:r>
          </w:p>
        </w:tc>
      </w:tr>
      <w:tr>
        <w:tc>
          <w:tcPr/>
          <w:p>
            <w:pPr>
              <w:pStyle w:val="Compact"/>
            </w:pPr>
            <w:r>
              <w:t xml:space="preserve">Risiko sisi pemerintah menahan pembiayaan</w:t>
            </w:r>
          </w:p>
        </w:tc>
        <w:tc>
          <w:tcPr/>
          <w:p>
            <w:pPr>
              <w:pStyle w:val="Compact"/>
            </w:pPr>
            <w:r>
              <w:rPr>
                <w:i/>
                <w:iCs/>
              </w:rPr>
              <w:t xml:space="preserve">Lender</w:t>
            </w:r>
            <w:r>
              <w:t xml:space="preserve"> </w:t>
            </w:r>
            <w:r>
              <w:t xml:space="preserve">ragu pemerintah memenuhi kewajiban kontraktualnya?</w:t>
            </w:r>
          </w:p>
        </w:tc>
        <w:tc>
          <w:tcPr/>
          <w:p>
            <w:pPr>
              <w:pStyle w:val="Compact"/>
            </w:pPr>
            <w:r>
              <w:t xml:space="preserve">Penjaminan Infrastruktur</w:t>
            </w:r>
          </w:p>
        </w:tc>
      </w:tr>
      <w:tr>
        <w:tc>
          <w:tcPr/>
          <w:p>
            <w:pPr>
              <w:pStyle w:val="Compact"/>
            </w:pPr>
            <w:r>
              <w:t xml:space="preserve">Mekanisme pembayaran perlu dikonfirmasi</w:t>
            </w:r>
          </w:p>
        </w:tc>
        <w:tc>
          <w:tcPr/>
          <w:p>
            <w:pPr>
              <w:pStyle w:val="Compact"/>
            </w:pPr>
            <w:r>
              <w:t xml:space="preserve">Dibayar atas ketersediaan layanan, bukan tarif pengguna?</w:t>
            </w:r>
          </w:p>
        </w:tc>
        <w:tc>
          <w:tcPr/>
          <w:p>
            <w:pPr>
              <w:pStyle w:val="Compact"/>
            </w:pPr>
            <w:r>
              <w:t xml:space="preserve">Pemrosesan dokumen Availability Payment</w:t>
            </w:r>
          </w:p>
        </w:tc>
      </w:tr>
    </w:tbl>
    <w:p>
      <w:pPr>
        <w:pStyle w:val="BodyText"/>
      </w:pPr>
      <w:r>
        <w:t xml:space="preserve">Kriteria pertama Dukungan Kelayakan hampir menyalin rumusan celahnya sendiri: proyek</w:t>
      </w:r>
      <w:r>
        <w:t xml:space="preserve"> </w:t>
      </w:r>
      <w:r>
        <w:t xml:space="preserve">“sudah memenuhi kelayakan ekonomi namun belum memenuhi kelayakan finansial”</w:t>
      </w:r>
      <w:r>
        <w:t xml:space="preserve">. Regulatornya menulis diagnosis itu langsung ke dalam syarat kelayakan.</w:t>
      </w:r>
    </w:p>
    <w:p>
      <w:pPr>
        <w:pStyle w:val="BodyText"/>
      </w:pPr>
      <w:r>
        <w:t xml:space="preserve">Ada satu celah lagi yang tidak masuk daftar lima bentuk tadi. Proyek daerah berskala kecil sering tersendat bukan karena risiko atau kelayakan finansial, melainkan karena kapasitas fiskal pemerintah daerahnya. Persoalan itu ditangani di luar menu PMK 68/2024, lewat</w:t>
      </w:r>
      <w:r>
        <w:t xml:space="preserve"> </w:t>
      </w:r>
      <w:hyperlink r:id="rId20">
        <w:r>
          <w:rPr>
            <w:rStyle w:val="Hyperlink"/>
          </w:rPr>
          <w:t xml:space="preserve">alternatif pembiayaan kreatif</w:t>
        </w:r>
      </w:hyperlink>
      <w:r>
        <w:t xml:space="preserve">.</w:t>
      </w:r>
    </w:p>
    <w:bookmarkEnd w:id="21"/>
    <w:bookmarkStart w:id="23" w:name="X991ce933bcd5bb504388e392eb2d689d9b0dbea"/>
    <w:p>
      <w:pPr>
        <w:pStyle w:val="Heading2"/>
      </w:pPr>
      <w:r>
        <w:t xml:space="preserve">Urutan pengajuan: mengapa penjaminan bukan langkah pertama</w:t>
      </w:r>
    </w:p>
    <w:p>
      <w:pPr>
        <w:pStyle w:val="FirstParagraph"/>
      </w:pPr>
      <w:r>
        <w:t xml:space="preserve">Karena kriteria kelayakannya mensyaratkan pekerjaan yang hanya ada di tahap penyiapan. Penjaminan Infrastruktur menuntut kajian prastudi kelayakan oleh konsultan independen dan profesional, rencana pengadaan lewat lelang terbuka dan kompetitif, serta klausul arbitrase yang mengikat di dalam perjanjian KPBU. Permohonan yang masuk sebelum ketiganya ada tidak akan bisa dinilai.</w:t>
      </w:r>
    </w:p>
    <w:p>
      <w:pPr>
        <w:pStyle w:val="Compact"/>
        <w:numPr>
          <w:ilvl w:val="0"/>
          <w:numId w:val="1002"/>
        </w:numPr>
      </w:pPr>
      <w:r>
        <w:rPr>
          <w:b/>
          <w:bCs/>
        </w:rPr>
        <w:t xml:space="preserve">Siapkan lebih dulu.</w:t>
      </w:r>
      <w:r>
        <w:t xml:space="preserve"> </w:t>
      </w:r>
      <w:r>
        <w:t xml:space="preserve">Fasilitas Pra-PDF dan Fasilitas PDF membiayai penyiapan sampai prastudi kelayakan independen dan struktur transaksi tersedia.</w:t>
      </w:r>
    </w:p>
    <w:p>
      <w:pPr>
        <w:pStyle w:val="Compact"/>
        <w:numPr>
          <w:ilvl w:val="0"/>
          <w:numId w:val="1002"/>
        </w:numPr>
      </w:pPr>
      <w:r>
        <w:rPr>
          <w:b/>
          <w:bCs/>
        </w:rPr>
        <w:t xml:space="preserve">Uji kelayakan finansialnya.</w:t>
      </w:r>
      <w:r>
        <w:t xml:space="preserve"> </w:t>
      </w:r>
      <w:r>
        <w:t xml:space="preserve">Bila ekonominya layak tetapi finansialnya belum, Dukungan Kelayakan diproses melalui empat tahap berurutan: persetujuan prinsip, penetapan besaran, persetujuan final, lalu penerbitan surat dukungan, masing-masing dinilai Komite Dukungan Kelayakan.</w:t>
      </w:r>
    </w:p>
    <w:p>
      <w:pPr>
        <w:pStyle w:val="Compact"/>
        <w:numPr>
          <w:ilvl w:val="0"/>
          <w:numId w:val="1002"/>
        </w:numPr>
      </w:pPr>
      <w:r>
        <w:rPr>
          <w:b/>
          <w:bCs/>
        </w:rPr>
        <w:t xml:space="preserve">Konfirmasikan mekanisme pembayaran.</w:t>
      </w:r>
      <w:r>
        <w:t xml:space="preserve"> </w:t>
      </w:r>
      <w:r>
        <w:t xml:space="preserve">Proyek berskema Availability Payment menempuh Konfirmasi Pendahuluan dan Konfirmasi Final di Kementerian Keuangan; pembayaran berkalanya tetap kewajiban anggaran PJPK.</w:t>
      </w:r>
    </w:p>
    <w:p>
      <w:pPr>
        <w:pStyle w:val="Compact"/>
        <w:numPr>
          <w:ilvl w:val="0"/>
          <w:numId w:val="1002"/>
        </w:numPr>
      </w:pPr>
      <w:r>
        <w:rPr>
          <w:b/>
          <w:bCs/>
        </w:rPr>
        <w:t xml:space="preserve">Baru ajukan penjaminan.</w:t>
      </w:r>
      <w:r>
        <w:t xml:space="preserve"> </w:t>
      </w:r>
      <w:r>
        <w:t xml:space="preserve">Permohonan berjalan lewat kebijakan satu pintu (</w:t>
      </w:r>
      <w:r>
        <w:rPr>
          <w:i/>
          <w:iCs/>
        </w:rPr>
        <w:t xml:space="preserve">single window</w:t>
      </w:r>
      <w:r>
        <w:t xml:space="preserve">) ke Badan Usaha Penjaminan Infrastruktur (BUPI). Menteri Keuangan ikut menjamin bersama hanya pada tiga kondisi tertentu, antara lain ketika kapasitas permodalan BUPI tidak memadai bagi nilai penjaminan yang dibutuhkan.</w:t>
      </w:r>
    </w:p>
    <w:p>
      <w:pPr>
        <w:pStyle w:val="FirstParagraph"/>
      </w:pPr>
      <w:r>
        <w:t xml:space="preserve">Urutan itu bukan tangga yang ditetapkan satu pasal. Ia konsekuensi dari kriteria tiap instrumen, yang bertumpu pada dokumen yang sama: prastudi kelayakan independen dan lelang kompetitif muncul di daftar syarat Penjaminan Infrastruktur maupun Dukungan Kelayakan. Proyek yang melewatkan penyiapan gagal di dua pintu, bukan satu.</w:t>
      </w:r>
    </w:p>
    <w:p>
      <w:pPr>
        <w:pStyle w:val="BodyText"/>
      </w:pPr>
      <w:r>
        <w:t xml:space="preserve">Dukungan Kelayakan sendiri adalah versi Indonesia dari</w:t>
      </w:r>
      <w:r>
        <w:t xml:space="preserve"> </w:t>
      </w:r>
      <w:r>
        <w:rPr>
          <w:i/>
          <w:iCs/>
        </w:rPr>
        <w:t xml:space="preserve">viability gap funding</w:t>
      </w:r>
      <w:r>
        <w:t xml:space="preserve">, instrumen standar pada</w:t>
      </w:r>
      <w:r>
        <w:t xml:space="preserve"> </w:t>
      </w:r>
      <w:hyperlink r:id="rId22">
        <w:r>
          <w:rPr>
            <w:rStyle w:val="Hyperlink"/>
          </w:rPr>
          <w:t xml:space="preserve">skema public private partnership</w:t>
        </w:r>
      </w:hyperlink>
      <w:r>
        <w:t xml:space="preserve"> </w:t>
      </w:r>
      <w:r>
        <w:t xml:space="preserve">di banyak negara. Empat tahap evaluasinya memakan waktu, dan waktu itu harus masuk jadwal menuju</w:t>
      </w:r>
      <w:r>
        <w:t xml:space="preserve"> </w:t>
      </w:r>
      <w:r>
        <w:rPr>
          <w:i/>
          <w:iCs/>
        </w:rPr>
        <w:t xml:space="preserve">financial close</w:t>
      </w:r>
      <w:r>
        <w:t xml:space="preserve">.</w:t>
      </w:r>
    </w:p>
    <w:bookmarkEnd w:id="23"/>
    <w:bookmarkStart w:id="25" w:name="X881e6c7e1a39d82cae84780235cf8ded35069ef"/>
    <w:p>
      <w:pPr>
        <w:pStyle w:val="Heading2"/>
      </w:pPr>
      <w:r>
        <w:t xml:space="preserve">Kombinasi yang masuk akal, dan yang regulasinya belum menjawab</w:t>
      </w:r>
    </w:p>
    <w:p>
      <w:pPr>
        <w:pStyle w:val="FirstParagraph"/>
      </w:pPr>
      <w:r>
        <w:t xml:space="preserve">Kombinasi wajar terjadi ketika satu proyek membawa dua celah sekaligus. SPAM Umbulan menerima Dukungan Kelayakan dari Kementerian Keuangan sekaligus memiliki Perjanjian Penjaminan yang ditandatangani bersama PT PII pada Juli 2016, kasus yang bisa ditelusuri publik. Nilai dukungannya diberitakan Rp 818 miliar (pemberitaan media ekonomi, 2021), angka yang belum dinyatakan ulang dalam publikasi resmi terbaru sehingga sebaiknya dibaca sebagai indikasi skala.</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Pasangan instrumen</w:t>
            </w:r>
          </w:p>
        </w:tc>
        <w:tc>
          <w:tcPr/>
          <w:p>
            <w:pPr>
              <w:pStyle w:val="Compact"/>
            </w:pPr>
            <w:r>
              <w:t xml:space="preserve">Status</w:t>
            </w:r>
          </w:p>
        </w:tc>
        <w:tc>
          <w:tcPr/>
          <w:p>
            <w:pPr>
              <w:pStyle w:val="Compact"/>
            </w:pPr>
            <w:r>
              <w:t xml:space="preserve">Dasar</w:t>
            </w:r>
          </w:p>
        </w:tc>
      </w:tr>
      <w:tr>
        <w:tc>
          <w:tcPr/>
          <w:p>
            <w:pPr>
              <w:pStyle w:val="Compact"/>
            </w:pPr>
            <w:r>
              <w:t xml:space="preserve">Dukungan Kelayakan + Penjaminan Infrastruktur</w:t>
            </w:r>
          </w:p>
        </w:tc>
        <w:tc>
          <w:tcPr/>
          <w:p>
            <w:pPr>
              <w:pStyle w:val="Compact"/>
            </w:pPr>
            <w:r>
              <w:t xml:space="preserve">Terbukti dalam praktik</w:t>
            </w:r>
          </w:p>
        </w:tc>
        <w:tc>
          <w:tcPr/>
          <w:p>
            <w:pPr>
              <w:pStyle w:val="Compact"/>
            </w:pPr>
            <w:r>
              <w:t xml:space="preserve">SPAM Umbulan: VGF Kemenkeu, Perjanjian Penjaminan Juli 2016</w:t>
            </w:r>
          </w:p>
        </w:tc>
      </w:tr>
      <w:tr>
        <w:tc>
          <w:tcPr/>
          <w:p>
            <w:pPr>
              <w:pStyle w:val="Compact"/>
            </w:pPr>
            <w:r>
              <w:t xml:space="preserve">Fasilitas Pra-PDF/PDF + instrumen lain</w:t>
            </w:r>
          </w:p>
        </w:tc>
        <w:tc>
          <w:tcPr/>
          <w:p>
            <w:pPr>
              <w:pStyle w:val="Compact"/>
            </w:pPr>
            <w:r>
              <w:t xml:space="preserve">Prasyarat, bukan kombinasi paralel</w:t>
            </w:r>
          </w:p>
        </w:tc>
        <w:tc>
          <w:tcPr/>
          <w:p>
            <w:pPr>
              <w:pStyle w:val="Compact"/>
            </w:pPr>
            <w:r>
              <w:t xml:space="preserve">Prastudi kelayakan independen jadi syarat bersama</w:t>
            </w:r>
          </w:p>
        </w:tc>
      </w:tr>
      <w:tr>
        <w:tc>
          <w:tcPr/>
          <w:p>
            <w:pPr>
              <w:pStyle w:val="Compact"/>
            </w:pPr>
            <w:r>
              <w:t xml:space="preserve">Dukungan Kelayakan + Availability Payment</w:t>
            </w:r>
          </w:p>
        </w:tc>
        <w:tc>
          <w:tcPr/>
          <w:p>
            <w:pPr>
              <w:pStyle w:val="Compact"/>
            </w:pPr>
            <w:r>
              <w:t xml:space="preserve">Belum ditemukan pengaturan eksplisit</w:t>
            </w:r>
          </w:p>
        </w:tc>
        <w:tc>
          <w:tcPr/>
          <w:p>
            <w:pPr>
              <w:pStyle w:val="Compact"/>
            </w:pPr>
            <w:r>
              <w:t xml:space="preserve">Kriteria VGF mensyaratkan prinsip pengguna membayar</w:t>
            </w:r>
          </w:p>
        </w:tc>
      </w:tr>
      <w:tr>
        <w:tc>
          <w:tcPr/>
          <w:p>
            <w:pPr>
              <w:pStyle w:val="Compact"/>
            </w:pPr>
            <w:r>
              <w:t xml:space="preserve">Penjaminan Infrastruktur + Availability Payment</w:t>
            </w:r>
          </w:p>
        </w:tc>
        <w:tc>
          <w:tcPr/>
          <w:p>
            <w:pPr>
              <w:pStyle w:val="Compact"/>
            </w:pPr>
            <w:r>
              <w:t xml:space="preserve">Tidak disinggung dalam kriteria yang dipublikasikan</w:t>
            </w:r>
          </w:p>
        </w:tc>
        <w:tc>
          <w:tcPr/>
          <w:p>
            <w:pPr>
              <w:pStyle w:val="Compact"/>
            </w:pPr>
            <w:r>
              <w:t xml:space="preserve">Lima kriteria penjaminan tak menyebut mekanisme pembayaran</w:t>
            </w:r>
          </w:p>
        </w:tc>
      </w:tr>
    </w:tbl>
    <w:p>
      <w:pPr>
        <w:pStyle w:val="BodyText"/>
      </w:pPr>
      <w:r>
        <w:t xml:space="preserve">Lima kriteria Dukungan Kelayakan yang dipublikasikan</w:t>
      </w:r>
      <w:r>
        <w:t xml:space="preserve"> </w:t>
      </w:r>
      <w:hyperlink r:id="rId24">
        <w:r>
          <w:rPr>
            <w:rStyle w:val="Hyperlink"/>
          </w:rPr>
          <w:t xml:space="preserve">portal KPBU Kementerian Keuangan</w:t>
        </w:r>
      </w:hyperlink>
      <w:r>
        <w:t xml:space="preserve"> </w:t>
      </w:r>
      <w:r>
        <w:t xml:space="preserve">(diakses 2026): kelayakan ekonomi terpenuhi sementara kelayakan finansial belum; proyek menerapkan prinsip pengguna membayar (</w:t>
      </w:r>
      <w:r>
        <w:rPr>
          <w:i/>
          <w:iCs/>
        </w:rPr>
        <w:t xml:space="preserve">user pay principle</w:t>
      </w:r>
      <w:r>
        <w:t xml:space="preserve">); total biaya investasi paling kurang Rp 100 miliar; badan usaha dipilih lewat lelang terbuka dan kompetitif; serta tersedia skema pengalihan aset atau pengelolaannya kepada PJPK di akhir masa kerja sama.</w:t>
      </w:r>
    </w:p>
    <w:p>
      <w:pPr>
        <w:pStyle w:val="BodyText"/>
      </w:pPr>
      <w:r>
        <w:t xml:space="preserve">Kriteria kedua itulah sumber pertanyaannya. Availability Payment secara definisi membayar badan usaha berdasarkan ketersediaan dan kualitas layanan, bukan volume pengguna. Ketegangan konseptualnya nyata. Namun sampai artikel ini disusun, tidak ditemukan pasal maupun penjelas resmi yang secara eksplisit melarang ataupun mengizinkan kombinasi keduanya. Perlakukan sebagai pertanyaan terbuka, dan konfirmasikan ke Kementerian Keuangan sebelum asumsi pembiayaan dikunci.</w:t>
      </w:r>
    </w:p>
    <w:bookmarkEnd w:id="25"/>
    <w:bookmarkStart w:id="26" w:name="Xf0dc7ca6374fd2354163ecbf702c48e06db2351"/>
    <w:p>
      <w:pPr>
        <w:pStyle w:val="Heading2"/>
      </w:pPr>
      <w:r>
        <w:t xml:space="preserve">Meminta lebih banyak dukungan tidak membuat proyek lebih kuat</w:t>
      </w:r>
    </w:p>
    <w:p>
      <w:pPr>
        <w:pStyle w:val="FirstParagraph"/>
      </w:pPr>
      <w:r>
        <w:t xml:space="preserve">Tidak, dan ini sering disalahpahami. Setiap instrumen punya uji kelayakan, komite penilai, dan waktu tempuhnya sendiri. Permohonan yang tidak cocok dengan celah yang didiagnosis jarang ditolak cepat; ia mengantre. Menumpuk permohonan juga mengirim sinyal kepada penilai dan</w:t>
      </w:r>
      <w:r>
        <w:t xml:space="preserve"> </w:t>
      </w:r>
      <w:r>
        <w:rPr>
          <w:i/>
          <w:iCs/>
        </w:rPr>
        <w:t xml:space="preserve">lender</w:t>
      </w:r>
      <w:r>
        <w:t xml:space="preserve"> </w:t>
      </w:r>
      <w:r>
        <w:t xml:space="preserve">bahwa fundamental proyek belum selesai dibereskan.</w:t>
      </w:r>
    </w:p>
    <w:p>
      <w:pPr>
        <w:pStyle w:val="BodyText"/>
      </w:pPr>
      <w:r>
        <w:t xml:space="preserve">Perlu dibedakan dua hal yang kerap disatukan di bawah satu label. Dukungan Kelayakan adalah pengeluaran fiskal riil: dana APBN dianggarkan dan dicairkan sebagai bagian biaya konstruksi, dan dapat melibatkan kontribusi pemerintah daerah. Penjaminan Infrastruktur bukan pengeluaran di muka dan bukan subsidi; ia jaminan bersyarat atas kewajiban finansial PJPK, yang baru menimbulkan arus kas bila risiko tanggung jawab PJPK terjadi dan klaimnya sah. Bagi penyusun anggaran proyek, perbedaan itu menentukan seberapa pasti dana yang boleh dihitung.</w:t>
      </w:r>
    </w:p>
    <w:p>
      <w:pPr>
        <w:pStyle w:val="BodyText"/>
      </w:pPr>
      <w:r>
        <w:t xml:space="preserve">Batas jujur berikutnya: tak satu pun dari lima instrumen menyentuh risiko komersial badan usaha. Penjaminan menutup risiko sisi pemerintah dalam kontrak, misalnya perubahan hukum yang diskriminatif terhadap proyek atau terminasi dini akibat tindakan pemerintah. Ia tidak memperbaiki proyeksi permintaan yang lemah.</w:t>
      </w:r>
    </w:p>
    <w:bookmarkEnd w:id="26"/>
    <w:bookmarkStart w:id="33" w:name="faq-pertanyaan-yang-sering-diajukan"/>
    <w:p>
      <w:pPr>
        <w:pStyle w:val="Heading2"/>
      </w:pPr>
      <w:r>
        <w:t xml:space="preserve">FAQ (Pertanyaan yang Sering Diajukan)</w:t>
      </w:r>
    </w:p>
    <w:bookmarkStart w:id="27" w:name="Xab32bcf04de09eeb27004409ebfde8595eb19b9"/>
    <w:p>
      <w:pPr>
        <w:pStyle w:val="Heading3"/>
      </w:pPr>
      <w:r>
        <w:t xml:space="preserve">Bisakah satu proyek KPBU menerima Dukungan Kelayakan dan penjaminan sekaligus?</w:t>
      </w:r>
    </w:p>
    <w:p>
      <w:pPr>
        <w:pStyle w:val="FirstParagraph"/>
      </w:pPr>
      <w:r>
        <w:t xml:space="preserve">Bisa, dan ini bukan sekadar teori. SPAM Umbulan tercatat menerima Dukungan Kelayakan dari Kementerian Keuangan sekaligus memiliki Perjanjian Penjaminan yang ditandatangani Juli 2016. Kombinasinya masuk akal karena kedua instrumen menutup celah berbeda: kelayakan finansial di satu sisi, risiko kontraktual sisi pemerintah di sisi lain.</w:t>
      </w:r>
    </w:p>
    <w:bookmarkEnd w:id="27"/>
    <w:bookmarkStart w:id="28" w:name="Xc1481ab190f4ff464ddcd0fd53ca41be7b653fb"/>
    <w:p>
      <w:pPr>
        <w:pStyle w:val="Heading3"/>
      </w:pPr>
      <w:r>
        <w:t xml:space="preserve">Mana yang diajukan lebih dulu, Dukungan Kelayakan atau penjaminan infrastruktur?</w:t>
      </w:r>
    </w:p>
    <w:p>
      <w:pPr>
        <w:pStyle w:val="FirstParagraph"/>
      </w:pPr>
      <w:r>
        <w:t xml:space="preserve">Keduanya bertumpu pada dokumen yang sama: kajian prastudi kelayakan oleh konsultan independen dan rencana lelang yang terbuka dan kompetitif. Urutannya karena itu ditentukan kesiapan, bukan preferensi. Pertanyaan Dukungan Kelayakan lazim muncul lebih dulu karena empat tahap evaluasinya memakan waktu, sedangkan permohonan penjaminan menuntut perjanjian KPBU yang sudah memuat klausul arbitrase yang mengikat.</w:t>
      </w:r>
    </w:p>
    <w:bookmarkEnd w:id="28"/>
    <w:bookmarkStart w:id="29" w:name="Xd94a81f4bd965e364c0378e109829fbf9a78058"/>
    <w:p>
      <w:pPr>
        <w:pStyle w:val="Heading3"/>
      </w:pPr>
      <w:r>
        <w:t xml:space="preserve">Berapa nilai investasi minimum agar proyek bisa mendapat Dukungan Kelayakan?</w:t>
      </w:r>
    </w:p>
    <w:p>
      <w:pPr>
        <w:pStyle w:val="FirstParagraph"/>
      </w:pPr>
      <w:r>
        <w:t xml:space="preserve">Salah satu dari lima kriteria mensyaratkan total biaya investasi paling kurang Rp 100 miliar (portal KPBU Kementerian Keuangan, diakses 2026). Kriteria lain harus dipenuhi bersamaan, termasuk penerapan prinsip pengguna membayar, lelang badan usaha yang kompetitif, dan skema pengalihan aset di akhir masa kerja sama.</w:t>
      </w:r>
    </w:p>
    <w:bookmarkEnd w:id="29"/>
    <w:bookmarkStart w:id="30" w:name="X44548779501633e07b33740a9ad1906a2a94117"/>
    <w:p>
      <w:pPr>
        <w:pStyle w:val="Heading3"/>
      </w:pPr>
      <w:r>
        <w:t xml:space="preserve">Apakah proyek berskema Availability Payment tetap bisa mendapat Dukungan Kelayakan?</w:t>
      </w:r>
    </w:p>
    <w:p>
      <w:pPr>
        <w:pStyle w:val="FirstParagraph"/>
      </w:pPr>
      <w:r>
        <w:t xml:space="preserve">Salah satu syarat Dukungan Kelayakan adalah prinsip pengguna membayar, sementara Availability Payment membayar badan usaha atas ketersediaan dan kualitas layanan, bukan volume pengguna. Aturan yang eksplisit melarang atau mengizinkan kombinasi ini belum ditemukan, sehingga PJPK sebaiknya mengonfirmasi langsung ke Kementerian Keuangan.</w:t>
      </w:r>
    </w:p>
    <w:bookmarkEnd w:id="30"/>
    <w:bookmarkStart w:id="31" w:name="siapa-yang-membayar-availability-payment"/>
    <w:p>
      <w:pPr>
        <w:pStyle w:val="Heading3"/>
      </w:pPr>
      <w:r>
        <w:t xml:space="preserve">Siapa yang membayar Availability Payment?</w:t>
      </w:r>
    </w:p>
    <w:p>
      <w:pPr>
        <w:pStyle w:val="FirstParagraph"/>
      </w:pPr>
      <w:r>
        <w:t xml:space="preserve">PJPK. Dalam PMK 68/2024, yang tergolong Dukungan Pemerintah bukan pembayaran Availability Payment itu sendiri, melainkan pemrosesan dokumennya oleh Kementerian Keuangan lewat Konfirmasi Pendahuluan dan Konfirmasi Final. Pembayaran berkala kepada badan usaha selama masa kerja sama tetap menjadi kewajiban anggaran PJPK, bukan Kementerian Keuangan.</w:t>
      </w:r>
    </w:p>
    <w:bookmarkEnd w:id="31"/>
    <w:bookmarkStart w:id="32" w:name="X316d317f0bea8a22d819c29ca38ba4a6efaf9a4"/>
    <w:p>
      <w:pPr>
        <w:pStyle w:val="Heading3"/>
      </w:pPr>
      <w:r>
        <w:t xml:space="preserve">Apakah jaminan pemerintah sama dengan subsidi?</w:t>
      </w:r>
    </w:p>
    <w:p>
      <w:pPr>
        <w:pStyle w:val="FirstParagraph"/>
      </w:pPr>
      <w:r>
        <w:t xml:space="preserve">Tidak. Penjaminan Infrastruktur tidak mencairkan dana di muka dan tidak menambah pendapatan proyek; kewajiban finansial baru muncul bila risiko yang menjadi tanggung jawab PJPK terjadi dan klaimnya dinyatakan sah. Dukungan Kelayakan justru sebaliknya: dana APBN memang dianggarkan dan dicairkan sebagai kontribusi atas sebagian biaya konstruksi. Keduanya tergolong Dukungan Pemerintah menurut PMK 68/2024, tetapi hanya satu yang berupa belanja negara.</w:t>
      </w:r>
    </w:p>
    <w:bookmarkEnd w:id="32"/>
    <w:bookmarkEnd w:id="33"/>
    <w:bookmarkStart w:id="34" w:name="kesimpulan"/>
    <w:p>
      <w:pPr>
        <w:pStyle w:val="Heading2"/>
      </w:pPr>
      <w:r>
        <w:t xml:space="preserve">Kesimpulan</w:t>
      </w:r>
    </w:p>
    <w:p>
      <w:pPr>
        <w:pStyle w:val="FirstParagraph"/>
      </w:pPr>
      <w:r>
        <w:t xml:space="preserve">Tim yang surat-menyuratnya berputar setahun di awal tulisan ini biasanya tidak kekurangan instrumen, melainkan kekurangan diagnosis. Begitu celahnya jelas, daftar lima bentuk dukungan menyusut menjadi satu atau dua yang benar-benar relevan. Sebagai Badan Usaha Penjaminan Infrastruktur di bawah Kementerian Keuangan, PT PII menjembatani kebutuhan kepastian investor dengan kemampuan fiskal negara; per Juni 2026, jaminan pemerintah yang diterbitkannya melekat pada 61 proyek, 38 di antaranya berskema KPBU, dengan nilai proyek lebih dari Rp 732 triliun dan nilai penjaminan Rp 113 triliun. Percakapan paling produktif dimulai dari satu pertanyaan: celah mana yang sebenarnya dimiliki proyek Anda?</w:t>
      </w:r>
    </w:p>
    <w:p>
      <w:pPr>
        <w:pStyle w:val="BodyText"/>
      </w:pPr>
      <w:r>
        <w:t xml:space="preserve">Penjelasan produk Penjaminan Pemerintah untuk proyek KPBU, termasuk cakupan risiko yang dapat dijamin, tersedia di ptpii.co.id.</w:t>
      </w:r>
    </w:p>
    <w:bookmarkEnd w:id="34"/>
    <w:bookmarkEnd w:id="35"/>
    <w:sectPr>
      <w:pgSz w:h="16834" w:orient="portrait" w:w="11909"/>
      <w:pgMar w:bottom="1440" w:footer="720" w:header="720" w:left="1440" w:right="1440" w:top="1440"/>
      <w:pgNumType w:start="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http://schemas.microsoft.com/office/tasks/2019/documenttasks" xmlns:a="http://schemas.openxmlformats.org/drawingml/2006/main" xmlns:c="http://schemas.openxmlformats.org/drawingml/2006/chart" xmlns:cr="http://schemas.microsoft.com/office/comments/2020/reactions" xmlns:dgm="http://schemas.openxmlformats.org/drawingml/2006/diagram" xmlns:lc="http://schemas.openxmlformats.org/drawingml/2006/lockedCanvas" xmlns:m="http://schemas.openxmlformats.org/officeDocument/2006/math" xmlns:mc="http://schemas.openxmlformats.org/markup-compatibility/2006" xmlns:o="urn:schemas-microsoft-com:office:office" xmlns:pic="http://schemas.openxmlformats.org/drawingml/2006/pictur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ne="http://schemas.microsoft.com/office/word/2006/wordml" xmlns:wp="http://schemas.openxmlformats.org/drawingml/2006/wordprocessingDrawing" xmlns:wpg="http://schemas.microsoft.com/office/word/2010/wordprocessingGroup" xmlns:wps="http://schemas.microsoft.com/office/word/2010/wordprocessingShape">
  <w:abstractNum w:abstractNumId="1">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2">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3">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rFonts w:ascii="Arial" w:cs="Arial" w:eastAsia="Arial" w:hAnsi="Arial"/>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4">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5">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abstractNumId w:val="1"/>
  </w:num>
  <w:num w:numId="2">
    <w:abstractNumId w:val="2"/>
  </w:num>
  <w:num w:numId="3">
    <w:abstractNumId w:val="3"/>
  </w:num>
  <w:num w:numId="4">
    <w:abstractNumId w:val="4"/>
  </w:num>
  <w:num w:numId="5">
    <w:abstractNumId w:val="5"/>
  </w: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TrueTypeFonts w:val="1"/>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5"/>
  </w:compat>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http://schemas.microsoft.com/office/tasks/2019/documenttasks" xmlns:a="http://schemas.openxmlformats.org/drawingml/2006/main" xmlns:c="http://schemas.openxmlformats.org/drawingml/2006/chart" xmlns:cr="http://schemas.microsoft.com/office/comments/2020/reactions" xmlns:dgm="http://schemas.openxmlformats.org/drawingml/2006/diagram" xmlns:lc="http://schemas.openxmlformats.org/drawingml/2006/lockedCanvas" xmlns:m="http://schemas.openxmlformats.org/officeDocument/2006/math" xmlns:mc="http://schemas.openxmlformats.org/markup-compatibility/2006" xmlns:o="urn:schemas-microsoft-com:office:office" xmlns:pic="http://schemas.openxmlformats.org/drawingml/2006/pictur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ne="http://schemas.microsoft.com/office/word/2006/wordml" xmlns:wp="http://schemas.openxmlformats.org/drawingml/2006/wordprocessingDrawing" xmlns:wpg="http://schemas.microsoft.com/office/word/2010/wordprocessingGroup" xmlns:wps="http://schemas.microsoft.com/office/word/2010/wordprocessingShape">
  <w:docDefaults>
    <w:rPrDefault>
      <w:rPr>
        <w:rFonts w:ascii="Arial" w:cs="Arial" w:eastAsia="Arial" w:hAnsi="Arial"/>
        <w:sz w:val="22"/>
        <w:szCs w:val="22"/>
        <w:lang w:val="en_GB"/>
      </w:rPr>
    </w:rPrDefault>
    <w:pPrDefault>
      <w:pPr>
        <w:spacing w:line="276" w:lineRule="auto"/>
      </w:pPr>
    </w:pPrDefault>
  </w:docDefaults>
  <w:style w:default="1" w:styleId="TableNormal" w:type="table">
    <w:name w:val="TableNormal"/>
    <w:tblPr>
      <w:tblCellMar>
        <w:top w:type="dxa" w:w="100.0"/>
        <w:left w:type="dxa" w:w="100.0"/>
        <w:bottom w:type="dxa" w:w="100.0"/>
        <w:right w:type="dxa" w:w="100.0"/>
      </w:tblCellMar>
    </w:tblPr>
  </w:style>
  <w:style w:default="1" w:styleId="Normal" w:type="paragraph">
    <w:name w:val="normal"/>
  </w:style>
  <w:style w:styleId="Heading1" w:type="paragraph">
    <w:name w:val="heading 1"/>
    <w:basedOn w:val="Normal"/>
    <w:next w:val="Normal"/>
    <w:pPr>
      <w:keepNext w:val="1"/>
      <w:keepLines w:val="1"/>
      <w:pageBreakBefore w:val="0"/>
      <w:spacing w:after="120" w:before="400" w:lineRule="auto"/>
    </w:pPr>
    <w:rPr>
      <w:sz w:val="40"/>
      <w:szCs w:val="40"/>
    </w:rPr>
  </w:style>
  <w:style w:styleId="Heading2" w:type="paragraph">
    <w:name w:val="heading 2"/>
    <w:basedOn w:val="Normal"/>
    <w:next w:val="Normal"/>
    <w:pPr>
      <w:keepNext w:val="1"/>
      <w:keepLines w:val="1"/>
      <w:pageBreakBefore w:val="0"/>
      <w:spacing w:after="120" w:before="360" w:lineRule="auto"/>
    </w:pPr>
    <w:rPr>
      <w:b w:val="0"/>
      <w:bCs w:val="0"/>
      <w:sz w:val="32"/>
      <w:szCs w:val="32"/>
    </w:rPr>
  </w:style>
  <w:style w:styleId="Heading3" w:type="paragraph">
    <w:name w:val="heading 3"/>
    <w:basedOn w:val="Normal"/>
    <w:next w:val="Normal"/>
    <w:pPr>
      <w:keepNext w:val="1"/>
      <w:keepLines w:val="1"/>
      <w:pageBreakBefore w:val="0"/>
      <w:spacing w:after="80" w:before="320" w:lineRule="auto"/>
    </w:pPr>
    <w:rPr>
      <w:b w:val="0"/>
      <w:bCs w:val="0"/>
      <w:color w:val="434343"/>
      <w:sz w:val="28"/>
      <w:szCs w:val="28"/>
    </w:rPr>
  </w:style>
  <w:style w:styleId="Heading4" w:type="paragraph">
    <w:name w:val="heading 4"/>
    <w:basedOn w:val="Normal"/>
    <w:next w:val="Normal"/>
    <w:pPr>
      <w:keepNext w:val="1"/>
      <w:keepLines w:val="1"/>
      <w:pageBreakBefore w:val="0"/>
      <w:spacing w:after="80" w:before="280" w:lineRule="auto"/>
    </w:pPr>
    <w:rPr>
      <w:color w:val="666666"/>
      <w:sz w:val="24"/>
      <w:szCs w:val="24"/>
    </w:rPr>
  </w:style>
  <w:style w:styleId="Heading5" w:type="paragraph">
    <w:name w:val="heading 5"/>
    <w:basedOn w:val="Normal"/>
    <w:next w:val="Normal"/>
    <w:pPr>
      <w:keepNext w:val="1"/>
      <w:keepLines w:val="1"/>
      <w:pageBreakBefore w:val="0"/>
      <w:spacing w:after="80" w:before="240" w:lineRule="auto"/>
    </w:pPr>
    <w:rPr>
      <w:color w:val="666666"/>
      <w:sz w:val="22"/>
      <w:szCs w:val="22"/>
    </w:rPr>
  </w:style>
  <w:style w:styleId="Heading6" w:type="paragraph">
    <w:name w:val="heading 6"/>
    <w:basedOn w:val="Normal"/>
    <w:next w:val="Normal"/>
    <w:pPr>
      <w:keepNext w:val="1"/>
      <w:keepLines w:val="1"/>
      <w:pageBreakBefore w:val="0"/>
      <w:spacing w:after="80" w:before="240" w:lineRule="auto"/>
    </w:pPr>
    <w:rPr>
      <w:i w:val="1"/>
      <w:iCs w:val="1"/>
      <w:color w:val="666666"/>
      <w:sz w:val="22"/>
      <w:szCs w:val="22"/>
    </w:rPr>
  </w:style>
  <w:style w:styleId="Title" w:type="paragraph">
    <w:name w:val="Title"/>
    <w:basedOn w:val="Normal"/>
    <w:next w:val="Normal"/>
    <w:pPr>
      <w:keepNext w:val="1"/>
      <w:keepLines w:val="1"/>
      <w:pageBreakBefore w:val="0"/>
      <w:spacing w:after="60" w:before="0" w:lineRule="auto"/>
    </w:pPr>
    <w:rPr>
      <w:sz w:val="52"/>
      <w:szCs w:val="52"/>
    </w:rPr>
  </w:style>
  <w:style w:styleId="Subtitle" w:type="paragraph">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styleId="Table1" w:type="table">
    <w:basedOn w:val="TableNormal"/>
    <w:tblPr>
      <w:tblStyleRowBandSize w:val="1"/>
      <w:tblStyleColBandSize w:val="1"/>
      <w:tblCellMar/>
    </w:tblPr>
  </w:style>
  <w:style w:styleId="Table2" w:type="table">
    <w:basedOn w:val="TableNormal"/>
    <w:tblPr>
      <w:tblStyleRowBandSize w:val="1"/>
      <w:tblStyleColBandSize w:val="1"/>
      <w:tblCellMar/>
    </w:tbl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 w:type="character" w:styleId="Hyperlink">
    <w:name w:val="Hyperlink"/>
    <w:rPr>
      <w:color w:val="0563C1"/>
      <w:u w:val="single"/>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5" Target="numbering.xml" /><Relationship Type="http://schemas.openxmlformats.org/officeDocument/2006/relationships/styles" Id="rId14" Target="styles.xml" /><Relationship Type="http://schemas.openxmlformats.org/officeDocument/2006/relationships/settings" Id="rId13" Target="settings.xml" /><Relationship Type="http://schemas.openxmlformats.org/officeDocument/2006/relationships/webSettings" Id="rId12" Target="webSettings.xml" /><Relationship Type="http://schemas.openxmlformats.org/officeDocument/2006/relationships/fontTable" Id="rId11" Target="fontTable.xml" /><Relationship Type="http://schemas.openxmlformats.org/officeDocument/2006/relationships/theme" Id="rId10" Target="theme/theme1.xml" /><Relationship Type="http://schemas.openxmlformats.org/officeDocument/2006/relationships/footnotes" Id="rId9" Target="footnotes.xml" /><Relationship Type="http://schemas.openxmlformats.org/officeDocument/2006/relationships/comments" Id="rId8" Target="comments.xml" /><Relationship Id="rId7" Target="media/image1.png" Type="http://schemas.openxmlformats.org/officeDocument/2006/relationships/image" /><Relationship Type="http://schemas.openxmlformats.org/officeDocument/2006/relationships/hyperlink" Id="rId18" Target="https://jdih.kemenkeu.go.id/dok/pmk-68-tahun-2024/summary" TargetMode="External" /><Relationship Type="http://schemas.openxmlformats.org/officeDocument/2006/relationships/hyperlink" Id="rId24" Target="https://kpbu.kemenkeu.go.id/read/1098-1261/pjpk/dukungan-pemerintah/dukungan-kelayakan" TargetMode="External" /><Relationship Type="http://schemas.openxmlformats.org/officeDocument/2006/relationships/hyperlink" Id="rId17" Target="https://www.ptpii.co.id/kpbu" TargetMode="External" /><Relationship Type="http://schemas.openxmlformats.org/officeDocument/2006/relationships/hyperlink" Id="rId20" Target="https://www.ptpii.co.id/pembiayaan-kreatif" TargetMode="External" /><Relationship Type="http://schemas.openxmlformats.org/officeDocument/2006/relationships/hyperlink" Id="rId22" Target="https://www.ptpii.co.id/public-private-partnership" TargetMode="External" /></Relationships>
</file>

<file path=word/_rels/footnotes.xml.rels><?xml version="1.0" encoding="UTF-8"?><Relationships xmlns="http://schemas.openxmlformats.org/package/2006/relationships"><Relationship Type="http://schemas.openxmlformats.org/officeDocument/2006/relationships/hyperlink" Id="rId18" Target="https://jdih.kemenkeu.go.id/dok/pmk-68-tahun-2024/summary" TargetMode="External" /><Relationship Type="http://schemas.openxmlformats.org/officeDocument/2006/relationships/hyperlink" Id="rId24" Target="https://kpbu.kemenkeu.go.id/read/1098-1261/pjpk/dukungan-pemerintah/dukungan-kelayakan" TargetMode="External" /><Relationship Type="http://schemas.openxmlformats.org/officeDocument/2006/relationships/hyperlink" Id="rId17" Target="https://www.ptpii.co.id/kpbu" TargetMode="External" /><Relationship Type="http://schemas.openxmlformats.org/officeDocument/2006/relationships/hyperlink" Id="rId20" Target="https://www.ptpii.co.id/pembiayaan-kreatif" TargetMode="External" /><Relationship Type="http://schemas.openxmlformats.org/officeDocument/2006/relationships/hyperlink" Id="rId22" Target="https://www.ptpii.co.id/public-private-partnership"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2026-09-22T01:19:43Z</dcterms:created>
  <dcterms:modified xsi:type="dcterms:W3CDTF">2026-09-22T01:19:43Z</dcterms:modified>
</cp:coreProperties>
</file>

<file path=docProps/custom.xml><?xml version="1.0" encoding="utf-8"?>
<Properties xmlns="http://schemas.openxmlformats.org/officeDocument/2006/custom-properties" xmlns:vt="http://schemas.openxmlformats.org/officeDocument/2006/docPropsVTypes"/>
</file>