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"Pengembalian Investasi KPBU: Availability Payment atau Tarif"</w:t>
      </w:r>
      <w:r>
        <w:br/>
      </w:r>
      <w:r>
        <w:rPr>
          <w:rStyle w:val="FunctionTok"/>
        </w:rPr>
        <w:t xml:space="preserve">meta_title</w:t>
      </w:r>
      <w:r>
        <w:rPr>
          <w:rStyle w:val="KeywordTok"/>
        </w:rPr>
        <w:t xml:space="preserve">:</w:t>
      </w:r>
      <w:r>
        <w:rPr>
          <w:rStyle w:val="AttributeTok"/>
        </w:rPr>
        <w:t xml:space="preserve"> </w:t>
      </w:r>
      <w:r>
        <w:rPr>
          <w:rStyle w:val="StringTok"/>
        </w:rPr>
        <w:t xml:space="preserve">"Pengembalian Investasi KPBU: Availability Payment atau Tarif"</w:t>
      </w:r>
      <w:r>
        <w:br/>
      </w:r>
      <w:r>
        <w:rPr>
          <w:rStyle w:val="FunctionTok"/>
        </w:rPr>
        <w:t xml:space="preserve">meta_description</w:t>
      </w:r>
      <w:r>
        <w:rPr>
          <w:rStyle w:val="KeywordTok"/>
        </w:rPr>
        <w:t xml:space="preserve">:</w:t>
      </w:r>
      <w:r>
        <w:rPr>
          <w:rStyle w:val="AttributeTok"/>
        </w:rPr>
        <w:t xml:space="preserve"> </w:t>
      </w:r>
      <w:r>
        <w:rPr>
          <w:rStyle w:val="StringTok"/>
        </w:rPr>
        <w:t xml:space="preserve">"Perpres 38/2015 menyebut tiga sumber pengembalian investasi KPBU, bukan dua. Bandingkan tarif pengguna dan Availability Payment serta beban anggarannya."</w:t>
      </w:r>
      <w:r>
        <w:br/>
      </w:r>
      <w:r>
        <w:rPr>
          <w:rStyle w:val="FunctionTok"/>
        </w:rPr>
        <w:t xml:space="preserve">slug</w:t>
      </w:r>
      <w:r>
        <w:rPr>
          <w:rStyle w:val="KeywordTok"/>
        </w:rPr>
        <w:t xml:space="preserve">:</w:t>
      </w:r>
      <w:r>
        <w:rPr>
          <w:rStyle w:val="AttributeTok"/>
        </w:rPr>
        <w:t xml:space="preserve"> </w:t>
      </w:r>
      <w:r>
        <w:rPr>
          <w:rStyle w:val="StringTok"/>
        </w:rPr>
        <w:t xml:space="preserve">"pengembalian-investasi-kpbu-availability-payment-tarif"</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"KPBU"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"pengembalian investasi KPBU"</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"Pembayaran Ketersediaan Layanan"</w:t>
      </w:r>
      <w:r>
        <w:br/>
      </w:r>
      <w:r>
        <w:rPr>
          <w:rStyle w:val="AttributeTok"/>
        </w:rPr>
        <w:t xml:space="preserve">  </w:t>
      </w:r>
      <w:r>
        <w:rPr>
          <w:rStyle w:val="KeywordTok"/>
        </w:rPr>
        <w:t xml:space="preserve">-</w:t>
      </w:r>
      <w:r>
        <w:rPr>
          <w:rStyle w:val="AttributeTok"/>
        </w:rPr>
        <w:t xml:space="preserve"> </w:t>
      </w:r>
      <w:r>
        <w:rPr>
          <w:rStyle w:val="StringTok"/>
        </w:rPr>
        <w:t xml:space="preserve">"tarif pengguna"</w:t>
      </w:r>
      <w:r>
        <w:br/>
      </w:r>
      <w:r>
        <w:rPr>
          <w:rStyle w:val="AttributeTok"/>
        </w:rPr>
        <w:t xml:space="preserve">  </w:t>
      </w:r>
      <w:r>
        <w:rPr>
          <w:rStyle w:val="KeywordTok"/>
        </w:rPr>
        <w:t xml:space="preserve">-</w:t>
      </w:r>
      <w:r>
        <w:rPr>
          <w:rStyle w:val="AttributeTok"/>
        </w:rPr>
        <w:t xml:space="preserve"> </w:t>
      </w:r>
      <w:r>
        <w:rPr>
          <w:rStyle w:val="StringTok"/>
        </w:rPr>
        <w:t xml:space="preserve">"risiko permintaan"</w:t>
      </w:r>
      <w:r>
        <w:br/>
      </w:r>
      <w:r>
        <w:rPr>
          <w:rStyle w:val="AttributeTok"/>
        </w:rPr>
        <w:t xml:space="preserve">  </w:t>
      </w:r>
      <w:r>
        <w:rPr>
          <w:rStyle w:val="KeywordTok"/>
        </w:rPr>
        <w:t xml:space="preserve">-</w:t>
      </w:r>
      <w:r>
        <w:rPr>
          <w:rStyle w:val="AttributeTok"/>
        </w:rPr>
        <w:t xml:space="preserve"> </w:t>
      </w:r>
      <w:r>
        <w:rPr>
          <w:rStyle w:val="StringTok"/>
        </w:rPr>
        <w:t xml:space="preserve">"Dukungan Kelayakan"</w:t>
      </w:r>
      <w:r>
        <w:br/>
      </w:r>
      <w:r>
        <w:rPr>
          <w:rStyle w:val="AttributeTok"/>
        </w:rPr>
        <w:t xml:space="preserve">  </w:t>
      </w:r>
      <w:r>
        <w:rPr>
          <w:rStyle w:val="KeywordTok"/>
        </w:rPr>
        <w:t xml:space="preserve">-</w:t>
      </w:r>
      <w:r>
        <w:rPr>
          <w:rStyle w:val="AttributeTok"/>
        </w:rPr>
        <w:t xml:space="preserve"> </w:t>
      </w:r>
      <w:r>
        <w:rPr>
          <w:rStyle w:val="StringTok"/>
        </w:rPr>
        <w:t xml:space="preserve">"Badan Usaha Pelaksana"</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"Perpres 38/2015 Pasal 11"</w:t>
      </w:r>
      <w:r>
        <w:br/>
      </w:r>
      <w:r>
        <w:rPr>
          <w:rStyle w:val="AttributeTok"/>
        </w:rPr>
        <w:t xml:space="preserve">  </w:t>
      </w:r>
      <w:r>
        <w:rPr>
          <w:rStyle w:val="KeywordTok"/>
        </w:rPr>
        <w:t xml:space="preserve">-</w:t>
      </w:r>
      <w:r>
        <w:rPr>
          <w:rStyle w:val="AttributeTok"/>
        </w:rPr>
        <w:t xml:space="preserve"> </w:t>
      </w:r>
      <w:r>
        <w:rPr>
          <w:rStyle w:val="StringTok"/>
        </w:rPr>
        <w:t xml:space="preserve">"PMK 68/2024"</w:t>
      </w:r>
      <w:r>
        <w:br/>
      </w:r>
      <w:r>
        <w:rPr>
          <w:rStyle w:val="AttributeTok"/>
        </w:rPr>
        <w:t xml:space="preserve">  </w:t>
      </w:r>
      <w:r>
        <w:rPr>
          <w:rStyle w:val="KeywordTok"/>
        </w:rPr>
        <w:t xml:space="preserve">-</w:t>
      </w:r>
      <w:r>
        <w:rPr>
          <w:rStyle w:val="AttributeTok"/>
        </w:rPr>
        <w:t xml:space="preserve"> </w:t>
      </w:r>
      <w:r>
        <w:rPr>
          <w:rStyle w:val="StringTok"/>
        </w:rPr>
        <w:t xml:space="preserve">"Perjanjian Kerja Sama"</w:t>
      </w:r>
      <w:r>
        <w:br/>
      </w:r>
      <w:r>
        <w:rPr>
          <w:rStyle w:val="AttributeTok"/>
        </w:rPr>
        <w:t xml:space="preserve">  </w:t>
      </w:r>
      <w:r>
        <w:rPr>
          <w:rStyle w:val="KeywordTok"/>
        </w:rPr>
        <w:t xml:space="preserve">-</w:t>
      </w:r>
      <w:r>
        <w:rPr>
          <w:rStyle w:val="AttributeTok"/>
        </w:rPr>
        <w:t xml:space="preserve"> </w:t>
      </w:r>
      <w:r>
        <w:rPr>
          <w:rStyle w:val="StringTok"/>
        </w:rPr>
        <w:t xml:space="preserve">"kemampuan bayar pengguna"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"struktur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"model PPP yang dipakai secara global"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"alternatif pembiayaan di luar APBD"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Perpres 38/2015 dan bunyi Pasal 11-13 tentang pengembalian investasi"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sebagai aturan pelaksana yang berlaku; tanggal penetapan dan pemberlakuan; daftar PMK yang dicabut"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"https://kpbu.kemenkeu.go.id/read/1095-1258/pjpk/pembayaran-kepada-badan-usaha/pembayaran-ketersediaan-layanan"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Availability Payment dan identitas pihak pembayar"</w:t>
      </w:r>
      <w:r>
        <w:br/>
      </w:r>
      <w:r>
        <w:rPr>
          <w:rStyle w:val="FunctionTok"/>
        </w:rPr>
        <w:t xml:space="preserve">brief_id</w:t>
      </w:r>
      <w:r>
        <w:rPr>
          <w:rStyle w:val="KeywordTok"/>
        </w:rPr>
        <w:t xml:space="preserve">:</w:t>
      </w:r>
      <w:r>
        <w:rPr>
          <w:rStyle w:val="AttributeTok"/>
        </w:rPr>
        <w:t xml:space="preserve"> </w:t>
      </w:r>
      <w:r>
        <w:rPr>
          <w:rStyle w:val="StringTok"/>
        </w:rPr>
        <w:t xml:space="preserve">"kpbu-03"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1637</w:t>
      </w:r>
    </w:p>
    <w:p>
      <w:r>
        <w:pict>
          <v:rect style="width:0;height:1.5pt" o:hralign="center" o:hrstd="t" o:hr="t"/>
        </w:pict>
      </w:r>
    </w:p>
    <w:bookmarkEnd w:id="16"/>
    <w:bookmarkStart w:id="35" w:name="Xb0b6bf7e91bd30f62ba57193d6ac1dfde47768b"/>
    <w:p>
      <w:pPr>
        <w:pStyle w:val="Heading1"/>
      </w:pPr>
      <w:r>
        <w:t xml:space="preserve">Pengembalian Investasi KPBU: Availability Payment atau Tarif</w:t>
      </w:r>
    </w:p>
    <w:p>
      <w:pPr>
        <w:pStyle w:val="FirstParagraph"/>
      </w:pPr>
      <w:r>
        <w:t xml:space="preserve">Studi kelayakan sudah rampung, alokasi risiko sudah disepakati, lalu calon</w:t>
      </w:r>
      <w:r>
        <w:t xml:space="preserve"> </w:t>
      </w:r>
      <w:r>
        <w:rPr>
          <w:i/>
          <w:iCs/>
        </w:rPr>
        <w:t xml:space="preserve">lender</w:t>
      </w:r>
      <w:r>
        <w:t xml:space="preserve"> </w:t>
      </w:r>
      <w:r>
        <w:t xml:space="preserve">(pemberi pinjaman) mengajukan pertanyaan yang justru paling sederhana: dari mana badan usaha memperoleh uangnya kembali selama masa konsesi? Jawabannya menentukan siapa memikul risiko permintaan, apakah anggaran daerah terikat komitmen multi-tahun, dan apakah tarif menjadi isu politik sampai kontrak berakhir. Kebanyakan pembahasan di Indonesia menyederhanakannya menjadi pilihan dua arah: Availability Payment atau tarif pengguna. Teks aslinya tidak berkata begitu. Artikel ini membedah pengembalian investasi dalam</w:t>
      </w:r>
      <w:r>
        <w:t xml:space="preserve"> </w:t>
      </w:r>
      <w:hyperlink r:id="rId17">
        <w:r>
          <w:rPr>
            <w:rStyle w:val="Hyperlink"/>
          </w:rPr>
          <w:t xml:space="preserve">struktur proyek KPBU</w:t>
        </w:r>
      </w:hyperlink>
      <w:r>
        <w:t xml:space="preserve"> </w:t>
      </w:r>
      <w:r>
        <w:t xml:space="preserve">langsung dari Perpres 38/2015 Pasal 11 sampai 13, termasuk sumber ketiga yang nyaris tidak pernah dibahas.</w:t>
      </w:r>
    </w:p>
    <w:p>
      <w:pPr>
        <w:pStyle w:val="BlockText"/>
      </w:pPr>
      <w:r>
        <w:rPr>
          <w:b/>
          <w:bCs/>
        </w:rPr>
        <w:t xml:space="preserve">Secara singkat:</w:t>
      </w:r>
      <w:r>
        <w:t xml:space="preserve"> </w:t>
      </w:r>
      <w:r>
        <w:t xml:space="preserve">Pengembalian investasi dalam KPBU adalah mekanisme yang ditetapkan PJPK agar Badan Usaha Pelaksana memperoleh kembali biaya modal, biaya operasional, dan keuntungannya. Perpres 38/2015 Pasal 11 ayat (2) menyebut tiga sumber yang dapat dipakai sendiri-sendiri atau digabung (</w:t>
      </w:r>
      <w:r>
        <w:t xml:space="preserve">“dan/atau”</w:t>
      </w:r>
      <w:r>
        <w:t xml:space="preserve">): tarif dari pengguna, Pembayaran Ketersediaan Layanan (</w:t>
      </w:r>
      <w:r>
        <w:rPr>
          <w:i/>
          <w:iCs/>
        </w:rPr>
        <w:t xml:space="preserve">Availability Payment</w:t>
      </w:r>
      <w:r>
        <w:t xml:space="preserve">), atau bentuk lain yang tidak bertentangan dengan peraturan perundang-undangan.</w:t>
      </w:r>
    </w:p>
    <w:bookmarkStart w:id="19" w:name="X71fd1e099adbed14e88ddd096df1e68b1232173"/>
    <w:p>
      <w:pPr>
        <w:pStyle w:val="Heading2"/>
      </w:pPr>
      <w:r>
        <w:t xml:space="preserve">Apa itu pengembalian investasi dalam proyek KPBU?</w:t>
      </w:r>
    </w:p>
    <w:p>
      <w:pPr>
        <w:pStyle w:val="FirstParagraph"/>
      </w:pPr>
      <w:r>
        <w:t xml:space="preserve">Pengembalian investasi adalah cara Badan Usaha Pelaksana (BUP) menutup kembali biaya modal, biaya operasional, dan keuntungannya atas infrastruktur yang dibangun. Perpres 38/2015 Pasal 11 ayat (1) menempatkan penetapan bentuknya di tangan PJPK (</w:t>
      </w:r>
      <w:r>
        <w:rPr>
          <w:i/>
          <w:iCs/>
        </w:rPr>
        <w:t xml:space="preserve">Penanggung Jawab Proyek Kerja Sama</w:t>
      </w:r>
      <w:r>
        <w:t xml:space="preserve">), bukan di tangan badan usaha, dan bukan hasil negosiasi bebas setelah kontrak diteken.</w:t>
      </w:r>
    </w:p>
    <w:p>
      <w:pPr>
        <w:pStyle w:val="BodyText"/>
      </w:pPr>
      <w:r>
        <w:t xml:space="preserve">Bunyi ayatnya tegas: bentuk pengembalian investasi</w:t>
      </w:r>
      <w:r>
        <w:t xml:space="preserve"> </w:t>
      </w:r>
      <w:r>
        <w:t xml:space="preserve">“meliputi penutupan biaya modal, biaya operasional, dan keuntungan Badan Usaha Pelaksana”</w:t>
      </w:r>
      <w:r>
        <w:t xml:space="preserve">. Tiga komponen, bukan satu. Kesalahan penyiapan yang sering muncul adalah menghitung belanja modal secara rinci lalu memperlakukan biaya operasi selama masa layanan sebagai catatan kaki.</w:t>
      </w:r>
    </w:p>
    <w:p>
      <w:pPr>
        <w:pStyle w:val="BodyText"/>
      </w:pPr>
      <w:r>
        <w:t xml:space="preserve">Ayat berikutnya menyebutkan dari mana ketiga komponen itu boleh berasal:</w:t>
      </w:r>
    </w:p>
    <w:p>
      <w:pPr>
        <w:pStyle w:val="Compact"/>
        <w:numPr>
          <w:ilvl w:val="0"/>
          <w:numId w:val="1001"/>
        </w:numPr>
      </w:pPr>
      <w:r>
        <w:rPr>
          <w:b/>
          <w:bCs/>
        </w:rPr>
        <w:t xml:space="preserve">Pembayaran oleh pengguna dalam bentuk tarif</w:t>
      </w:r>
      <w:r>
        <w:t xml:space="preserve">, diatur lebih lanjut pada Pasal 12.</w:t>
      </w:r>
    </w:p>
    <w:p>
      <w:pPr>
        <w:pStyle w:val="Compact"/>
        <w:numPr>
          <w:ilvl w:val="0"/>
          <w:numId w:val="1001"/>
        </w:numPr>
      </w:pPr>
      <w:r>
        <w:rPr>
          <w:b/>
          <w:bCs/>
        </w:rPr>
        <w:t xml:space="preserve">Pembayaran Ketersediaan Layanan (</w:t>
      </w:r>
      <w:r>
        <w:rPr>
          <w:b/>
          <w:bCs/>
          <w:i/>
          <w:iCs/>
        </w:rPr>
        <w:t xml:space="preserve">Availability Payment</w:t>
      </w:r>
      <w:r>
        <w:rPr>
          <w:b/>
          <w:bCs/>
        </w:rPr>
        <w:t xml:space="preserve">)</w:t>
      </w:r>
      <w:r>
        <w:t xml:space="preserve">, diatur lebih lanjut pada Pasal 13.</w:t>
      </w:r>
    </w:p>
    <w:p>
      <w:pPr>
        <w:pStyle w:val="Compact"/>
        <w:numPr>
          <w:ilvl w:val="0"/>
          <w:numId w:val="1001"/>
        </w:numPr>
      </w:pPr>
      <w:r>
        <w:rPr>
          <w:b/>
          <w:bCs/>
        </w:rPr>
        <w:t xml:space="preserve">Bentuk lainnya sepanjang tidak bertentangan dengan peraturan perundang-undangan</w:t>
      </w:r>
      <w:r>
        <w:t xml:space="preserve">, tanpa pasal turunan khusus.</w:t>
      </w:r>
    </w:p>
    <w:p>
      <w:pPr>
        <w:pStyle w:val="FirstParagraph"/>
      </w:pPr>
      <w:r>
        <w:t xml:space="preserve">Penghubungnya</w:t>
      </w:r>
      <w:r>
        <w:t xml:space="preserve"> </w:t>
      </w:r>
      <w:r>
        <w:t xml:space="preserve">“dan/atau”</w:t>
      </w:r>
      <w:r>
        <w:t xml:space="preserve">, bukan</w:t>
      </w:r>
      <w:r>
        <w:t xml:space="preserve"> </w:t>
      </w:r>
      <w:r>
        <w:t xml:space="preserve">“atau”</w:t>
      </w:r>
      <w:r>
        <w:t xml:space="preserve">, dan konstruksi itulah yang jarang dibaca utuh. Perpres 38/2015 sendiri berstatus berlaku menurut metadata</w:t>
      </w:r>
      <w:r>
        <w:t xml:space="preserve"> </w:t>
      </w:r>
      <w:hyperlink r:id="rId18">
        <w:r>
          <w:rPr>
            <w:rStyle w:val="Hyperlink"/>
          </w:rPr>
          <w:t xml:space="preserve">peraturan.go.id</w:t>
        </w:r>
      </w:hyperlink>
      <w:r>
        <w:t xml:space="preserve"> </w:t>
      </w:r>
      <w:r>
        <w:t xml:space="preserve">per pemeriksaan September 2026.</w:t>
      </w:r>
    </w:p>
    <w:bookmarkEnd w:id="19"/>
    <w:bookmarkStart w:id="21" w:name="X26c4eb2fe2f6d030285f5ee790758e6cf78fc57"/>
    <w:p>
      <w:pPr>
        <w:pStyle w:val="Heading2"/>
      </w:pPr>
      <w:r>
        <w:t xml:space="preserve">Tarif pengguna dan Availability Payment: apa yang benar-benar berbeda</w:t>
      </w:r>
    </w:p>
    <w:p>
      <w:pPr>
        <w:pStyle w:val="FirstParagraph"/>
      </w:pPr>
      <w:r>
        <w:t xml:space="preserve">Perbedaan pokoknya bukan pada jumlah uang yang berpindah, melainkan pada siapa yang membayar dan siapa yang menanggung risiko volume pemakaian. Pada skema tarif, pengguna membayar langsung dan BUP menanggung risiko permintaan (</w:t>
      </w:r>
      <w:r>
        <w:rPr>
          <w:i/>
          <w:iCs/>
        </w:rPr>
        <w:t xml:space="preserve">demand risk</w:t>
      </w:r>
      <w:r>
        <w:t xml:space="preserve">). Pada Availability Payment, PJPK membayar secara berkala atas tersedianya layanan sesuai standar mutu, bukan atas jumlah pemakai.</w:t>
      </w:r>
    </w:p>
    <w:p>
      <w:pPr>
        <w:pStyle w:val="BodyText"/>
      </w:pPr>
      <w:r>
        <w:t xml:space="preserve">Konstruksi berbasis ketersediaan ini bukan temuan lokal. Ia diadopsi dari</w:t>
      </w:r>
      <w:r>
        <w:t xml:space="preserve"> </w:t>
      </w:r>
      <w:hyperlink r:id="rId20">
        <w:r>
          <w:rPr>
            <w:rStyle w:val="Hyperlink"/>
          </w:rPr>
          <w:t xml:space="preserve">model PPP yang dipakai secara global</w:t>
        </w:r>
      </w:hyperlink>
      <w:r>
        <w:t xml:space="preserve">: dalam literatur PPP internasional, termasuk materi PPP Knowledge Lab World Bank, pembayaran berbasis ketersediaan diklasifikasikan sebagai mekanisme yang memang memindahkan risiko permintaan ke sisi pemerintah.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Tarif pengguna</w:t>
            </w:r>
          </w:p>
        </w:tc>
        <w:tc>
          <w:tcPr/>
          <w:p>
            <w:pPr>
              <w:pStyle w:val="Compact"/>
            </w:pPr>
            <w:r>
              <w:t xml:space="preserve">Availability Payment</w:t>
            </w:r>
          </w:p>
        </w:tc>
      </w:tr>
      <w:tr>
        <w:tc>
          <w:tcPr/>
          <w:p>
            <w:pPr>
              <w:pStyle w:val="Compact"/>
            </w:pPr>
            <w:r>
              <w:t xml:space="preserve">Sumber dana</w:t>
            </w:r>
          </w:p>
        </w:tc>
        <w:tc>
          <w:tcPr/>
          <w:p>
            <w:pPr>
              <w:pStyle w:val="Compact"/>
            </w:pPr>
            <w:r>
              <w:t xml:space="preserve">Pembayaran langsung pengguna (Pasal 11 ayat 2 huruf a)</w:t>
            </w:r>
          </w:p>
        </w:tc>
        <w:tc>
          <w:tcPr/>
          <w:p>
            <w:pPr>
              <w:pStyle w:val="Compact"/>
            </w:pPr>
            <w:r>
              <w:t xml:space="preserve">Anggaran kementerian/lembaga atau daerah selaku PJPK (Pasal 13)</w:t>
            </w:r>
          </w:p>
        </w:tc>
      </w:tr>
      <w:tr>
        <w:tc>
          <w:tcPr/>
          <w:p>
            <w:pPr>
              <w:pStyle w:val="Compact"/>
            </w:pPr>
            <w:r>
              <w:t xml:space="preserve">Pemikul risiko permintaan</w:t>
            </w:r>
          </w:p>
        </w:tc>
        <w:tc>
          <w:tcPr/>
          <w:p>
            <w:pPr>
              <w:pStyle w:val="Compact"/>
            </w:pPr>
            <w:r>
              <w:t xml:space="preserve">Badan Usaha Pelaksana; pendapatan mengikuti volume pemakai</w:t>
            </w:r>
          </w:p>
        </w:tc>
        <w:tc>
          <w:tcPr/>
          <w:p>
            <w:pPr>
              <w:pStyle w:val="Compact"/>
            </w:pPr>
            <w:r>
              <w:t xml:space="preserve">PJPK; badan usaha dibayar atas ketersediaan layanan, bukan jumlah pemakai</w:t>
            </w:r>
          </w:p>
        </w:tc>
      </w:tr>
      <w:tr>
        <w:tc>
          <w:tcPr/>
          <w:p>
            <w:pPr>
              <w:pStyle w:val="Compact"/>
            </w:pPr>
            <w:r>
              <w:t xml:space="preserve">Penetap tarif</w:t>
            </w:r>
          </w:p>
        </w:tc>
        <w:tc>
          <w:tcPr/>
          <w:p>
            <w:pPr>
              <w:pStyle w:val="Compact"/>
            </w:pPr>
            <w:r>
              <w:t xml:space="preserve">PJPK, tarif awal dan penyesuaiannya (Pasal 12 ayat 1 dan 2)</w:t>
            </w:r>
          </w:p>
        </w:tc>
        <w:tc>
          <w:tcPr/>
          <w:p>
            <w:pPr>
              <w:pStyle w:val="Compact"/>
            </w:pPr>
            <w:r>
              <w:t xml:space="preserve">Tidak ada tarif pengguna; acuannya indikator layanan kontrak</w:t>
            </w:r>
          </w:p>
        </w:tc>
      </w:tr>
      <w:tr>
        <w:tc>
          <w:tcPr/>
          <w:p>
            <w:pPr>
              <w:pStyle w:val="Compact"/>
            </w:pPr>
            <w:r>
              <w:t xml:space="preserve">Beban anggaran PJPK</w:t>
            </w:r>
          </w:p>
        </w:tc>
        <w:tc>
          <w:tcPr/>
          <w:p>
            <w:pPr>
              <w:pStyle w:val="Compact"/>
            </w:pPr>
            <w:r>
              <w:t xml:space="preserve">Umumnya tidak langsung, kecuali Dukungan Kelayakan diperlukan (Pasal 12 ayat 4)</w:t>
            </w:r>
          </w:p>
        </w:tc>
        <w:tc>
          <w:tcPr/>
          <w:p>
            <w:pPr>
              <w:pStyle w:val="Compact"/>
            </w:pPr>
            <w:r>
              <w:t xml:space="preserve">Komitmen anggaran multi-tahun sepanjang masa operasi (Pasal 13)</w:t>
            </w:r>
          </w:p>
        </w:tc>
      </w:tr>
      <w:tr>
        <w:tc>
          <w:tcPr/>
          <w:p>
            <w:pPr>
              <w:pStyle w:val="Compact"/>
            </w:pPr>
            <w:r>
              <w:t xml:space="preserve">Awal arus pendapatan</w:t>
            </w:r>
          </w:p>
        </w:tc>
        <w:tc>
          <w:tcPr/>
          <w:p>
            <w:pPr>
              <w:pStyle w:val="Compact"/>
            </w:pPr>
            <w:r>
              <w:t xml:space="preserve">Sejak infrastruktur beroperasi dan pengguna membayar</w:t>
            </w:r>
          </w:p>
        </w:tc>
        <w:tc>
          <w:tcPr/>
          <w:p>
            <w:pPr>
              <w:pStyle w:val="Compact"/>
            </w:pPr>
            <w:r>
              <w:t xml:space="preserve">Setelah bangunan selesai dan indikator layanan terpenuhi (Pasal 13 ayat 4)</w:t>
            </w:r>
          </w:p>
        </w:tc>
      </w:tr>
    </w:tbl>
    <w:p>
      <w:pPr>
        <w:pStyle w:val="BodyText"/>
      </w:pPr>
      <w:r>
        <w:t xml:space="preserve">Perlu dibedakan antara prinsip dan praktik. Pemetaan di atas berlaku untuk skema murni; kontrak Availability Payment yang memuat penalti kinerja tetap meninggalkan sebagian eksposur di sisi badan usaha.</w:t>
      </w:r>
    </w:p>
    <w:bookmarkEnd w:id="21"/>
    <w:bookmarkStart w:id="22" w:name="Xdb3db6f1a230570ce29a038e366854a359704de"/>
    <w:p>
      <w:pPr>
        <w:pStyle w:val="Heading2"/>
      </w:pPr>
      <w:r>
        <w:t xml:space="preserve">Siapa yang menetapkan tarif, dan bagaimana jika pengguna tidak mampu membayar?</w:t>
      </w:r>
    </w:p>
    <w:p>
      <w:pPr>
        <w:pStyle w:val="FirstParagraph"/>
      </w:pPr>
      <w:r>
        <w:t xml:space="preserve">PJPK yang menetapkan tarif awal beserta mekanisme penyesuaiannya, sesuai Perpres 38/2015 Pasal 12 ayat (1) dan (2). Tarif itu harus dirancang agar mampu menutup biaya modal, biaya operasional, dan keuntungan BUP dalam kurun waktu tertentu. Bila perhitungan itu tidak tercapai, Pasal 12 membuka jalan keluar yang berjenjang.</w:t>
      </w:r>
    </w:p>
    <w:p>
      <w:pPr>
        <w:pStyle w:val="BodyText"/>
      </w:pPr>
      <w:r>
        <w:t xml:space="preserve">Jalan keluarnya: tarif boleh ditetapkan mengikuti kemampuan bayar pengguna, dan sebagai konsekuensinya PJPK memberikan Dukungan Kelayakan (</w:t>
      </w:r>
      <w:r>
        <w:rPr>
          <w:i/>
          <w:iCs/>
        </w:rPr>
        <w:t xml:space="preserve">Viability Gap Fund</w:t>
      </w:r>
      <w:r>
        <w:t xml:space="preserve">). Kompensasi itu bukan fasilitas terbuka. Pasal 12 ayat (5) membatasinya</w:t>
      </w:r>
      <w:r>
        <w:t xml:space="preserve"> </w:t>
      </w:r>
      <w:r>
        <w:t xml:space="preserve">“hanya diberikan bagi KPBU yang mempunyai kepentingan dan kemanfaatan sosial”</w:t>
      </w:r>
      <w:r>
        <w:t xml:space="preserve">, dan baru setelah kajian yang lengkap dan menyeluruh atas kemanfaatan sosial itu dilakukan.</w:t>
      </w:r>
    </w:p>
    <w:p>
      <w:pPr>
        <w:pStyle w:val="BodyText"/>
      </w:pPr>
      <w:r>
        <w:t xml:space="preserve">Implikasinya sering luput. Begitu tarif dipatok pada kemampuan bayar masyarakat, proyek yang semula berbasis penuh pendapatan pengguna berubah menjadi proyek yang sebagian pengembaliannya bersumber dari anggaran. Pergeseran itu harus muncul di dokumen penyiapan sejak awal, bukan ditemukan saat penawaran masuk.</w:t>
      </w:r>
    </w:p>
    <w:bookmarkEnd w:id="22"/>
    <w:bookmarkStart w:id="24" w:name="Xf745c1f26ac06b5ea9544b711408dd297182d02"/>
    <w:p>
      <w:pPr>
        <w:pStyle w:val="Heading2"/>
      </w:pPr>
      <w:r>
        <w:t xml:space="preserve">Konsekuensi anggaran sebelum PJPK memilih Availability Payment</w:t>
      </w:r>
    </w:p>
    <w:p>
      <w:pPr>
        <w:pStyle w:val="FirstParagraph"/>
      </w:pPr>
      <w:r>
        <w:t xml:space="preserve">Memilih Availability Payment berarti PJPK wajib menganggarkan pembayaran tersebut sepanjang masa operasi sesuai jangka waktu Perjanjian Kerja Sama, sebagaimana diatur Perpres 38/2015 Pasal 13. Komitmennya melintasi banyak tahun anggaran sekaligus, pencairannya tidak otomatis, dan syaratnya ditetapkan di ayat (4) pasal yang sama: infrastruktur harus selesai dibangun dan dinyatakan memenuhi indikator layanan.</w:t>
      </w:r>
    </w:p>
    <w:p>
      <w:pPr>
        <w:pStyle w:val="BodyText"/>
      </w:pPr>
      <w:r>
        <w:t xml:space="preserve">Bunyi kedua syarat itu spesifik:</w:t>
      </w:r>
    </w:p>
    <w:p>
      <w:pPr>
        <w:pStyle w:val="Compact"/>
        <w:numPr>
          <w:ilvl w:val="0"/>
          <w:numId w:val="1002"/>
        </w:numPr>
      </w:pPr>
      <w:r>
        <w:t xml:space="preserve">“Infrastruktur yang dikerjasamakan telah dibangun dan dinyatakan siap beroperasi”</w:t>
      </w:r>
      <w:r>
        <w:t xml:space="preserve">;</w:t>
      </w:r>
    </w:p>
    <w:p>
      <w:pPr>
        <w:pStyle w:val="Compact"/>
        <w:numPr>
          <w:ilvl w:val="0"/>
          <w:numId w:val="1002"/>
        </w:numPr>
      </w:pPr>
      <w:r>
        <w:t xml:space="preserve">Menteri/Kepala Lembaga/Kepala Daerah</w:t>
      </w:r>
      <w:r>
        <w:t xml:space="preserve"> </w:t>
      </w:r>
      <w:r>
        <w:t xml:space="preserve">“menyatakan bahwa infrastruktur telah memenuhi indikator layanan infrastruktur sebagaimana diatur dalam Perjanjian Kerja Sama”</w:t>
      </w:r>
      <w:r>
        <w:t xml:space="preserve">.</w:t>
      </w:r>
    </w:p>
    <w:p>
      <w:pPr>
        <w:pStyle w:val="FirstParagraph"/>
      </w:pPr>
      <w:r>
        <w:t xml:space="preserve">Dua syarat itu menjelaskan mengapa Availability Payment bukan uang mudah bagi badan usaha. Risiko konstruksi dan risiko kinerja operasional tetap tinggal di BUP; yang berpindah hanyalah risiko volume pemakai.</w:t>
      </w:r>
    </w:p>
    <w:p>
      <w:pPr>
        <w:pStyle w:val="BodyText"/>
      </w:pPr>
      <w:r>
        <w:t xml:space="preserve">Skalanya nyata di tingkat daerah. KPBU Penerangan Jalan Umum Kabupaten Dharmasraya, dengan Perjanjian Kerja Sama ditandatangani 19 September 2023, mencakup 4.520 titik lampu selama lima tahun dan mewajibkan PJPK menyediakan kepastian pembayaran tahunan sepanjang masa layanan itu (portal KPBU Kementerian Keuangan, 2023). Proyek ini dikutip semata sebagai contoh sektor yang memakai skema ketersediaan layanan, bukan sebagai proyek yang dijamin PT PII.</w:t>
      </w:r>
    </w:p>
    <w:p>
      <w:pPr>
        <w:pStyle w:val="BodyText"/>
      </w:pPr>
      <w:r>
        <w:t xml:space="preserve">Portal Kantor Bersama KPBU, per pemeriksaan September 2026, menyebut tiga prinsip penganggarannya: kemampuan keuangan negara, kesinambungan fiskal, dan pengelolaan risiko fiskal. Daerah dengan ruang fiskal sempit biasanya menabrak dinding di sini, dan di titik itulah pembahasan bergeser ke</w:t>
      </w:r>
      <w:r>
        <w:t xml:space="preserve"> </w:t>
      </w:r>
      <w:hyperlink r:id="rId23">
        <w:r>
          <w:rPr>
            <w:rStyle w:val="Hyperlink"/>
          </w:rPr>
          <w:t xml:space="preserve">alternatif pembiayaan di luar APBD</w:t>
        </w:r>
      </w:hyperlink>
      <w:r>
        <w:t xml:space="preserve">.</w:t>
      </w:r>
    </w:p>
    <w:bookmarkEnd w:id="24"/>
    <w:bookmarkStart w:id="26" w:name="Xb89a8bce9b447efaf5b58ab17e5e4207cb608ae"/>
    <w:p>
      <w:pPr>
        <w:pStyle w:val="Heading2"/>
      </w:pPr>
      <w:r>
        <w:t xml:space="preserve">Yang jarang dibahas: ini bukan pilihan biner, dan bukan sumber dana baru</w:t>
      </w:r>
    </w:p>
    <w:p>
      <w:pPr>
        <w:pStyle w:val="FirstParagraph"/>
      </w:pPr>
      <w:r>
        <w:t xml:space="preserve">Tiga hal rutin hilang dari pembahasan populer. Pasal 11 ayat (2) memakai</w:t>
      </w:r>
      <w:r>
        <w:t xml:space="preserve"> </w:t>
      </w:r>
      <w:r>
        <w:t xml:space="preserve">“dan/atau”</w:t>
      </w:r>
      <w:r>
        <w:t xml:space="preserve">, sehingga kombinasi skema sah secara hukum. Sumber ketiga praktis tidak memiliki elaborasi resmi sama sekali. Dan tidak ada satu pun mekanisme di sini yang menciptakan uang baru: tarif maupun Availability Payment hanya memindahkan beban proyek ke pihak yang berbeda.</w:t>
      </w:r>
    </w:p>
    <w:p>
      <w:pPr>
        <w:pStyle w:val="BodyText"/>
      </w:pPr>
      <w:r>
        <w:t xml:space="preserve">Kombinasi lebih dulu. Secara hukum, pendapatan tarif yang tidak mencukupi dapat ditopang komponen pembayaran ketersediaan layanan dalam proyek yang sama. Yang belum dapat ditunjukkan adalah contoh proyek hibrida Indonesia yang terverifikasi publik, sehingga struktur seperti ini sebaiknya diperlakukan sebagai ruang desain, bukan preseden siap pakai.</w:t>
      </w:r>
    </w:p>
    <w:p>
      <w:pPr>
        <w:pStyle w:val="BodyText"/>
      </w:pPr>
      <w:r>
        <w:t xml:space="preserve">Sumber ketiga lebih tipis lagi. Halaman resmi portal KPBU Kementerian Keuangan tentang pengembalian investasi dalam bentuk lainnya, per pemeriksaan September 2026, hanya memuat satu kalimat yang mengulang bunyi pasal tanpa contoh maupun penjelasan teknis. Opsinya tersedia secara hukum, panduan publiknya belum ada. Mengaku tidak tahu lebih berguna daripada menebak bentuknya.</w:t>
      </w:r>
    </w:p>
    <w:p>
      <w:pPr>
        <w:pStyle w:val="BodyText"/>
      </w:pPr>
      <w:r>
        <w:t xml:space="preserve">Soal beban, logikanya lurus. Skema tarif memindahkan biaya infrastruktur kepada pengguna; Availability Payment memindahkannya ke anggaran tahun-tahun berikutnya. Tidak ada versi yang membuat biaya proyek menyusut.</w:t>
      </w:r>
    </w:p>
    <w:p>
      <w:pPr>
        <w:pStyle w:val="BodyText"/>
      </w:pPr>
      <w:r>
        <w:t xml:space="preserve">Satu catatan teknis layak diperiksa sendiri oleh tim penyiapan. Halaman Availability Payment di portal yang sama, per September 2026, masih mencantumkan PMK 260/PMK.08/2016 sebagai dasar hukum, padahal PMK itu sudah dicabut</w:t>
      </w:r>
      <w:r>
        <w:t xml:space="preserve"> </w:t>
      </w:r>
      <w:hyperlink r:id="rId25">
        <w:r>
          <w:rPr>
            <w:rStyle w:val="Hyperlink"/>
          </w:rPr>
          <w:t xml:space="preserve">PMK No. 68 Tahun 2024</w:t>
        </w:r>
      </w:hyperlink>
      <w:r>
        <w:t xml:space="preserve"> </w:t>
      </w:r>
      <w:r>
        <w:t xml:space="preserve">yang ditetapkan 24 September 2024 dan berlaku 18 Oktober 2024. Besar kemungkinan ini keterlambatan pemutakhiran konten. Bagi penyusun dokumen lelang, rujukannya tetap PMK 68/2024.</w:t>
      </w:r>
    </w:p>
    <w:bookmarkEnd w:id="26"/>
    <w:bookmarkStart w:id="33" w:name="faq-pertanyaan-yang-sering-diajukan"/>
    <w:p>
      <w:pPr>
        <w:pStyle w:val="Heading2"/>
      </w:pPr>
      <w:r>
        <w:t xml:space="preserve">FAQ (Pertanyaan yang Sering Diajukan)</w:t>
      </w:r>
    </w:p>
    <w:bookmarkStart w:id="27" w:name="Xf748ce130c088ad9c769b7caef1b9d2ef49552f"/>
    <w:p>
      <w:pPr>
        <w:pStyle w:val="Heading3"/>
      </w:pPr>
      <w:r>
        <w:t xml:space="preserve">Apa itu Availability Payment dalam proyek KPBU?</w:t>
      </w:r>
    </w:p>
    <w:p>
      <w:pPr>
        <w:pStyle w:val="FirstParagraph"/>
      </w:pPr>
      <w:r>
        <w:t xml:space="preserve">Availability Payment (Pembayaran Ketersediaan Layanan) adalah pembayaran berkala dari PJPK kepada Badan Usaha Pelaksana atas tersedianya layanan infrastruktur sesuai kualitas yang disepakati dalam Perjanjian Kerja Sama. Skema ini satu dari tiga sumber pengembalian investasi menurut Perpres 38/2015 Pasal 11 ayat (2). Perhitungannya berbasis ketersediaan layanan, bukan jumlah pengguna.</w:t>
      </w:r>
    </w:p>
    <w:bookmarkEnd w:id="27"/>
    <w:bookmarkStart w:id="28" w:name="Xd2adf2f1d754d4f7b6fb7e9e02ef96eb92f791e"/>
    <w:p>
      <w:pPr>
        <w:pStyle w:val="Heading3"/>
      </w:pPr>
      <w:r>
        <w:t xml:space="preserve">Apa bedanya Availability Payment dan tarif pengguna?</w:t>
      </w:r>
    </w:p>
    <w:p>
      <w:pPr>
        <w:pStyle w:val="FirstParagraph"/>
      </w:pPr>
      <w:r>
        <w:t xml:space="preserve">Keduanya sumber pengembalian investasi menurut Pasal 11 ayat (2), tetapi berbeda pada pembayar dan pemikul risiko permintaan. Pada skema tarif, pengguna membayar langsung dan badan usaha menanggung risiko jika volume pemakai meleset dari proyeksi. Pada Availability Payment, PJPK membayar dari anggaran kementerian/lembaga atau daerah, sehingga risiko volume berpindah ke pemerintah.</w:t>
      </w:r>
    </w:p>
    <w:bookmarkEnd w:id="28"/>
    <w:bookmarkStart w:id="29" w:name="X82342a94828b3491eae971e3ac38dccca6a492b"/>
    <w:p>
      <w:pPr>
        <w:pStyle w:val="Heading3"/>
      </w:pPr>
      <w:r>
        <w:t xml:space="preserve">Siapa yang membayar Availability Payment kepada badan usaha pelaksana?</w:t>
      </w:r>
    </w:p>
    <w:p>
      <w:pPr>
        <w:pStyle w:val="FirstParagraph"/>
      </w:pPr>
      <w:r>
        <w:t xml:space="preserve">PJPK proyek tersebut, yaitu Menteri, Kepala Lembaga, atau Kepala Daerah pemilik proyek, melalui anggaran kementerian/lembaga atau APBD, sesuai Pasal 13 Perpres 38/2015. Badan usaha penjaminan infrastruktur tidak membayar Availability Payment dan tidak menetapkan tarif; perannya menjamin risiko yang menjadi tanggung jawab pemerintah dalam kontrak.</w:t>
      </w:r>
    </w:p>
    <w:bookmarkEnd w:id="29"/>
    <w:bookmarkStart w:id="30" w:name="Xd82bbbbd0a662e46b046a977c14b6d02999cec6"/>
    <w:p>
      <w:pPr>
        <w:pStyle w:val="Heading3"/>
      </w:pPr>
      <w:r>
        <w:t xml:space="preserve">Apakah proyek KPBU boleh menggabungkan dua skema pengembalian investasi?</w:t>
      </w:r>
    </w:p>
    <w:p>
      <w:pPr>
        <w:pStyle w:val="FirstParagraph"/>
      </w:pPr>
      <w:r>
        <w:t xml:space="preserve">Boleh. Pasal 11 ayat (2) Perpres 38/2015 merangkai ketiga sumber dengan kata penghubung</w:t>
      </w:r>
      <w:r>
        <w:t xml:space="preserve"> </w:t>
      </w:r>
      <w:r>
        <w:t xml:space="preserve">“dan/atau”</w:t>
      </w:r>
      <w:r>
        <w:t xml:space="preserve">, bukan</w:t>
      </w:r>
      <w:r>
        <w:t xml:space="preserve"> </w:t>
      </w:r>
      <w:r>
        <w:t xml:space="preserve">“atau”</w:t>
      </w:r>
      <w:r>
        <w:t xml:space="preserve"> </w:t>
      </w:r>
      <w:r>
        <w:t xml:space="preserve">semata, sehingga kombinasi terbuka secara hukum. Misalnya pendapatan tarif yang tidak mencukupi ditopang komponen pembayaran ketersediaan layanan. Bentuk akhirnya tetap ditetapkan PJPK dan dituangkan dalam Perjanjian Kerja Sama.</w:t>
      </w:r>
    </w:p>
    <w:bookmarkEnd w:id="30"/>
    <w:bookmarkStart w:id="31" w:name="X5e0b698f88be38d72b836245c4382c1832cdbc3"/>
    <w:p>
      <w:pPr>
        <w:pStyle w:val="Heading3"/>
      </w:pPr>
      <w:r>
        <w:t xml:space="preserve">Apa itu pengembalian investasi</w:t>
      </w:r>
      <w:r>
        <w:t xml:space="preserve"> </w:t>
      </w:r>
      <w:r>
        <w:t xml:space="preserve">“bentuk lainnya”</w:t>
      </w:r>
      <w:r>
        <w:t xml:space="preserve"> </w:t>
      </w:r>
      <w:r>
        <w:t xml:space="preserve">dalam KPBU?</w:t>
      </w:r>
    </w:p>
    <w:p>
      <w:pPr>
        <w:pStyle w:val="FirstParagraph"/>
      </w:pPr>
      <w:r>
        <w:t xml:space="preserve">Pasal 11 ayat (2) huruf c membuka opsi ketiga berupa</w:t>
      </w:r>
      <w:r>
        <w:t xml:space="preserve"> </w:t>
      </w:r>
      <w:r>
        <w:t xml:space="preserve">“bentuk lainnya sepanjang tidak bertentangan dengan peraturan perundang-undangan”</w:t>
      </w:r>
      <w:r>
        <w:t xml:space="preserve">. Hingga pemeriksaan September 2026, halaman resmi portal KPBU Kementerian Keuangan untuk opsi ini hanya memuat satu kalimat tanpa elaborasi maupun contoh. Opsinya tersedia secara hukum, tetapi preseden publiknya jauh lebih tipis dibanding tarif dan Availability Payment.</w:t>
      </w:r>
    </w:p>
    <w:bookmarkEnd w:id="31"/>
    <w:bookmarkStart w:id="32" w:name="Xa77d337c8233c551671ee62e37d4ae9aa9aea8f"/>
    <w:p>
      <w:pPr>
        <w:pStyle w:val="Heading3"/>
      </w:pPr>
      <w:r>
        <w:t xml:space="preserve">Regulasi apa yang mengatur Availability Payment saat ini?</w:t>
      </w:r>
    </w:p>
    <w:p>
      <w:pPr>
        <w:pStyle w:val="FirstParagraph"/>
      </w:pPr>
      <w:r>
        <w:t xml:space="preserve">Aturan pelaksananya adalah PMK No. 68 Tahun 2024 tentang Dukungan Pemerintah untuk Pembiayaan Infrastruktur melalui Skema KPBU dan/atau Skema Pembiayaan Lainnya, ditetapkan 24 September 2024 dan berlaku 18 Oktober 2024. Beleid ini mencabut PMK 260/PMK.08/2016 beserta rantai PMK lama. Payung utamanya tetap Perpres 38/2015 Pasal 11 sampai 13.</w:t>
      </w:r>
    </w:p>
    <w:bookmarkEnd w:id="32"/>
    <w:bookmarkEnd w:id="33"/>
    <w:bookmarkStart w:id="34" w:name="kesimpulan"/>
    <w:p>
      <w:pPr>
        <w:pStyle w:val="Heading2"/>
      </w:pPr>
      <w:r>
        <w:t xml:space="preserve">Kesimpulan</w:t>
      </w:r>
    </w:p>
    <w:p>
      <w:pPr>
        <w:pStyle w:val="FirstParagraph"/>
      </w:pPr>
      <w:r>
        <w:t xml:space="preserve">Kembali ke pertanyaan</w:t>
      </w:r>
      <w:r>
        <w:t xml:space="preserve"> </w:t>
      </w:r>
      <w:r>
        <w:rPr>
          <w:i/>
          <w:iCs/>
        </w:rPr>
        <w:t xml:space="preserve">lender</w:t>
      </w:r>
      <w:r>
        <w:t xml:space="preserve"> </w:t>
      </w:r>
      <w:r>
        <w:t xml:space="preserve">di awal: jawaban yang meyakinkan bukan</w:t>
      </w:r>
      <w:r>
        <w:t xml:space="preserve"> </w:t>
      </w:r>
      <w:r>
        <w:t xml:space="preserve">“Availability Payment”</w:t>
      </w:r>
      <w:r>
        <w:t xml:space="preserve"> </w:t>
      </w:r>
      <w:r>
        <w:t xml:space="preserve">atau</w:t>
      </w:r>
      <w:r>
        <w:t xml:space="preserve"> </w:t>
      </w:r>
      <w:r>
        <w:t xml:space="preserve">“tarif”</w:t>
      </w:r>
      <w:r>
        <w:t xml:space="preserve">, melainkan penjelasan tentang siapa menanggung apa, dari anggaran mana, dan dengan syarat pencairan apa. Skema mana pun yang dipilih, sebagian kewajiban tetap tinggal di sisi pemerintah selaku pihak dalam kontrak, dan di situlah produk Penjaminan Pemerintah bekerja. PT PII berdiri sebagai Badan Usaha Penjaminan Infrastruktur di bawah Kementerian Keuangan, satu-satunya BUMN yang memperoleh mandat menerbitkan penjaminan pemerintah bagi proyek KPBU. Angkanya kumulatif dan terus bertumbuh: 61 proyek dijamin, 38 di antaranya berskema KPBU, per Juni 2026.</w:t>
      </w:r>
    </w:p>
    <w:p>
      <w:pPr>
        <w:pStyle w:val="BodyText"/>
      </w:pPr>
      <w:r>
        <w:t xml:space="preserve">Diskusi paling produktif dimulai saat struktur pengembalian investasi masih bisa diubah.</w:t>
      </w:r>
    </w:p>
    <w:p>
      <w:pPr>
        <w:pStyle w:val="BodyText"/>
      </w:pPr>
      <w:r>
        <w:t xml:space="preserve">Pembahasan lebih rinci mengenai cakupan penjaminan pemerintah pada proyek KPBU tersedia di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jdih.kemenkeu.go.id/dok/pmk-68-tahun-2024" TargetMode="External" /><Relationship Type="http://schemas.openxmlformats.org/officeDocument/2006/relationships/hyperlink" Id="rId18" Target="https://peraturan.go.id/id/perpres-no-38-tahun-2015" TargetMode="External" /><Relationship Type="http://schemas.openxmlformats.org/officeDocument/2006/relationships/hyperlink" Id="rId17" Target="https://www.ptpii.co.id/kpbu" TargetMode="External" /><Relationship Type="http://schemas.openxmlformats.org/officeDocument/2006/relationships/hyperlink" Id="rId23" Target="https://www.ptpii.co.id/pembiayaan-kreatif" TargetMode="External" /><Relationship Type="http://schemas.openxmlformats.org/officeDocument/2006/relationships/hyperlink" Id="rId20"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5" Target="https://jdih.kemenkeu.go.id/dok/pmk-68-tahun-2024" TargetMode="External" /><Relationship Type="http://schemas.openxmlformats.org/officeDocument/2006/relationships/hyperlink" Id="rId18" Target="https://peraturan.go.id/id/perpres-no-38-tahun-2015" TargetMode="External" /><Relationship Type="http://schemas.openxmlformats.org/officeDocument/2006/relationships/hyperlink" Id="rId17" Target="https://www.ptpii.co.id/kpbu" TargetMode="External" /><Relationship Type="http://schemas.openxmlformats.org/officeDocument/2006/relationships/hyperlink" Id="rId23" Target="https://www.ptpii.co.id/pembiayaan-kreatif" TargetMode="External" /><Relationship Type="http://schemas.openxmlformats.org/officeDocument/2006/relationships/hyperlink" Id="rId20"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2026-09-22T01:19:47Z</dcterms:created>
  <dcterms:modified xsi:type="dcterms:W3CDTF">2026-09-22T01:19:47Z</dcterms:modified>
</cp:coreProperties>
</file>

<file path=docProps/custom.xml><?xml version="1.0" encoding="utf-8"?>
<Properties xmlns="http://schemas.openxmlformats.org/officeDocument/2006/custom-properties" xmlns:vt="http://schemas.openxmlformats.org/officeDocument/2006/docPropsVTypes"/>
</file>