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Infrastruktur per Sektor: Kenapa Tak Seragam"</w:t>
      </w:r>
      <w:r>
        <w:br/>
      </w:r>
      <w:r>
        <w:rPr>
          <w:rStyle w:val="FunctionTok"/>
        </w:rPr>
        <w:t xml:space="preserve">meta_title</w:t>
      </w:r>
      <w:r>
        <w:rPr>
          <w:rStyle w:val="KeywordTok"/>
        </w:rPr>
        <w:t xml:space="preserve">:</w:t>
      </w:r>
      <w:r>
        <w:rPr>
          <w:rStyle w:val="AttributeTok"/>
        </w:rPr>
        <w:t xml:space="preserve"> </w:t>
      </w:r>
      <w:r>
        <w:rPr>
          <w:rStyle w:val="StringTok"/>
        </w:rPr>
        <w:t xml:space="preserve">"Pembiayaan Infrastruktur per Sektor: Kenapa Tak Seragam"</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infrastruktur tak seragam: siapa membayar, seberapa terduga arus kasnya, berapa lama modal terkunci. Tabel lima sektor dan pemicu biaya dana."</w:t>
      </w:r>
      <w:r>
        <w:br/>
      </w:r>
      <w:r>
        <w:rPr>
          <w:rStyle w:val="FunctionTok"/>
        </w:rPr>
        <w:t xml:space="preserve">slug</w:t>
      </w:r>
      <w:r>
        <w:rPr>
          <w:rStyle w:val="KeywordTok"/>
        </w:rPr>
        <w:t xml:space="preserve">:</w:t>
      </w:r>
      <w:r>
        <w:rPr>
          <w:rStyle w:val="AttributeTok"/>
        </w:rPr>
        <w:t xml:space="preserve"> </w:t>
      </w:r>
      <w:r>
        <w:rPr>
          <w:rStyle w:val="StringTok"/>
        </w:rPr>
        <w:t xml:space="preserve">"pembiayaan-infrastruktur-per-sektor"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Infrastruktur"</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"model pembiayaan per sektor"</w:t>
      </w:r>
      <w:r>
        <w:br/>
      </w:r>
      <w:r>
        <w:rPr>
          <w:rStyle w:val="AttributeTok"/>
        </w:rPr>
        <w:t xml:space="preserve">  </w:t>
      </w:r>
      <w:r>
        <w:rPr>
          <w:rStyle w:val="KeywordTok"/>
        </w:rPr>
        <w:t xml:space="preserve">-</w:t>
      </w:r>
      <w:r>
        <w:rPr>
          <w:rStyle w:val="AttributeTok"/>
        </w:rPr>
        <w:t xml:space="preserve"> </w:t>
      </w:r>
      <w:r>
        <w:rPr>
          <w:rStyle w:val="StringTok"/>
        </w:rPr>
        <w:t xml:space="preserve">"skema pembiayaan jalan tol"</w:t>
      </w:r>
      <w:r>
        <w:br/>
      </w:r>
      <w:r>
        <w:rPr>
          <w:rStyle w:val="AttributeTok"/>
        </w:rPr>
        <w:t xml:space="preserve">  </w:t>
      </w:r>
      <w:r>
        <w:rPr>
          <w:rStyle w:val="KeywordTok"/>
        </w:rPr>
        <w:t xml:space="preserve">-</w:t>
      </w:r>
      <w:r>
        <w:rPr>
          <w:rStyle w:val="AttributeTok"/>
        </w:rPr>
        <w:t xml:space="preserve"> </w:t>
      </w:r>
      <w:r>
        <w:rPr>
          <w:rStyle w:val="StringTok"/>
        </w:rPr>
        <w:t xml:space="preserve">"pembiayaan proyek SPAM"</w:t>
      </w:r>
      <w:r>
        <w:br/>
      </w:r>
      <w:r>
        <w:rPr>
          <w:rStyle w:val="AttributeTok"/>
        </w:rPr>
        <w:t xml:space="preserve">  </w:t>
      </w:r>
      <w:r>
        <w:rPr>
          <w:rStyle w:val="KeywordTok"/>
        </w:rPr>
        <w:t xml:space="preserve">-</w:t>
      </w:r>
      <w:r>
        <w:rPr>
          <w:rStyle w:val="AttributeTok"/>
        </w:rPr>
        <w:t xml:space="preserve"> </w:t>
      </w:r>
      <w:r>
        <w:rPr>
          <w:rStyle w:val="StringTok"/>
        </w:rPr>
        <w:t xml:space="preserve">"pembiayaan sektor ketenagalistrikan"</w:t>
      </w:r>
      <w:r>
        <w:br/>
      </w:r>
      <w:r>
        <w:rPr>
          <w:rStyle w:val="AttributeTok"/>
        </w:rPr>
        <w:t xml:space="preserve">  </w:t>
      </w:r>
      <w:r>
        <w:rPr>
          <w:rStyle w:val="KeywordTok"/>
        </w:rPr>
        <w:t xml:space="preserve">-</w:t>
      </w:r>
      <w:r>
        <w:rPr>
          <w:rStyle w:val="AttributeTok"/>
        </w:rPr>
        <w:t xml:space="preserve"> </w:t>
      </w:r>
      <w:r>
        <w:rPr>
          <w:rStyle w:val="StringTok"/>
        </w:rPr>
        <w:t xml:space="preserve">"offtaker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"risiko permintaan"</w:t>
      </w:r>
      <w:r>
        <w:br/>
      </w:r>
      <w:r>
        <w:rPr>
          <w:rStyle w:val="AttributeTok"/>
        </w:rPr>
        <w:t xml:space="preserve">  </w:t>
      </w:r>
      <w:r>
        <w:rPr>
          <w:rStyle w:val="KeywordTok"/>
        </w:rPr>
        <w:t xml:space="preserve">-</w:t>
      </w:r>
      <w:r>
        <w:rPr>
          <w:rStyle w:val="AttributeTok"/>
        </w:rPr>
        <w:t xml:space="preserve"> </w:t>
      </w:r>
      <w:r>
        <w:rPr>
          <w:rStyle w:val="StringTok"/>
        </w:rPr>
        <w:t xml:space="preserve">"arus kas proyek"</w:t>
      </w:r>
      <w:r>
        <w:br/>
      </w:r>
      <w:r>
        <w:rPr>
          <w:rStyle w:val="AttributeTok"/>
        </w:rPr>
        <w:t xml:space="preserve">  </w:t>
      </w:r>
      <w:r>
        <w:rPr>
          <w:rStyle w:val="KeywordTok"/>
        </w:rPr>
        <w:t xml:space="preserve">-</w:t>
      </w:r>
      <w:r>
        <w:rPr>
          <w:rStyle w:val="AttributeTok"/>
        </w:rPr>
        <w:t xml:space="preserve"> </w:t>
      </w:r>
      <w:r>
        <w:rPr>
          <w:rStyle w:val="StringTok"/>
        </w:rPr>
        <w:t xml:space="preserve">"bankability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"Acuan Alokasi Risiko"</w:t>
      </w:r>
      <w:r>
        <w:br/>
      </w:r>
      <w:r>
        <w:rPr>
          <w:rStyle w:val="AttributeTok"/>
        </w:rPr>
        <w:t xml:space="preserve">  </w:t>
      </w:r>
      <w:r>
        <w:rPr>
          <w:rStyle w:val="KeywordTok"/>
        </w:rPr>
        <w:t xml:space="preserve">-</w:t>
      </w:r>
      <w:r>
        <w:rPr>
          <w:rStyle w:val="AttributeTok"/>
        </w:rPr>
        <w:t xml:space="preserve"> </w:t>
      </w:r>
      <w:r>
        <w:rPr>
          <w:rStyle w:val="StringTok"/>
        </w:rPr>
        <w:t xml:space="preserve">"PSEL persampahan"</w:t>
      </w:r>
      <w:r>
        <w:br/>
      </w:r>
      <w:r>
        <w:rPr>
          <w:rStyle w:val="AttributeTok"/>
        </w:rPr>
        <w:t xml:space="preserve">  </w:t>
      </w:r>
      <w:r>
        <w:rPr>
          <w:rStyle w:val="KeywordTok"/>
        </w:rPr>
        <w:t xml:space="preserve">-</w:t>
      </w:r>
      <w:r>
        <w:rPr>
          <w:rStyle w:val="AttributeTok"/>
        </w:rPr>
        <w:t xml:space="preserve"> </w:t>
      </w:r>
      <w:r>
        <w:rPr>
          <w:rStyle w:val="StringTok"/>
        </w:rPr>
        <w:t xml:space="preserve">"badan usaha pelaksana"</w:t>
      </w:r>
      <w:r>
        <w:br/>
      </w:r>
      <w:r>
        <w:rPr>
          <w:rStyle w:val="AttributeTok"/>
        </w:rPr>
        <w:t xml:space="preserve">  </w:t>
      </w:r>
      <w:r>
        <w:rPr>
          <w:rStyle w:val="KeywordTok"/>
        </w:rPr>
        <w:t xml:space="preserve">-</w:t>
      </w:r>
      <w:r>
        <w:rPr>
          <w:rStyle w:val="AttributeTok"/>
        </w:rPr>
        <w:t xml:space="preserve"> </w:t>
      </w:r>
      <w:r>
        <w:rPr>
          <w:rStyle w:val="StringTok"/>
        </w:rPr>
        <w:t xml:space="preserve">"biaya dana proyek infrastruktur"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"model pendanaan kreatif untuk proyek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"kerja sama pemerintah dengan badan usaha"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"kerangka public private partnership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68/2024 Pasal 75 mewajibkan BUPI menerbitkan Acuan Alokasi Risiko tahunan"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"https://bpjt.pu.go.id/faq/bagaimana-mekanisme-penyesuaian-tarif-tol/"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"Penyesuaian tarif tol dievaluasi tiap dua tahun berdasarkan inflasi dan pemenuhan SPM"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"http://sim.ciptakarya.pu.go.id/bppspam/detail_berita/332"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"Hanya 42% PDAM berkategori sehat menurut data BPPSPAM 2019"</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"https://kpbu.kemenkeu.go.id/read/1192-1553/umum/kajian-opini-publik/infrastruktur-air-minum-untuk-masyarakat-indonesia"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"PDAM sebagai pembeli air curah dan rendahnya penyerapan pada skema SPAM Regional"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"https://peraturan.bpk.go.id/Details/334718/perpres-no-109-tahun-2025"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"Perpres 109/2025 mencabut Perpres 35/2018 dan memperluas cakupan pengolahan sampah"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"https://ppp.worldbank.org/guarantees"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"Risiko ketidaksesuaian mata uang dan penjaminan sebagai penurun biaya dana"</w:t>
      </w:r>
      <w:r>
        <w:br/>
      </w:r>
      <w:r>
        <w:rPr>
          <w:rStyle w:val="FunctionTok"/>
        </w:rPr>
        <w:t xml:space="preserve">brief_id</w:t>
      </w:r>
      <w:r>
        <w:rPr>
          <w:rStyle w:val="KeywordTok"/>
        </w:rPr>
        <w:t xml:space="preserve">:</w:t>
      </w:r>
      <w:r>
        <w:rPr>
          <w:rStyle w:val="AttributeTok"/>
        </w:rPr>
        <w:t xml:space="preserve"> </w:t>
      </w:r>
      <w:r>
        <w:rPr>
          <w:rStyle w:val="StringTok"/>
        </w:rPr>
        <w:t xml:space="preserve">"pembiayaan-infrastruktur-01"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1789</w:t>
      </w:r>
    </w:p>
    <w:p>
      <w:r>
        <w:pict>
          <v:rect style="width:0;height:1.5pt" o:hralign="center" o:hrstd="t" o:hr="t"/>
        </w:pict>
      </w:r>
    </w:p>
    <w:bookmarkEnd w:id="16"/>
    <w:bookmarkStart w:id="40" w:name="X4e6d2092d5533fc0865e07efd680204e74e3d7b"/>
    <w:p>
      <w:pPr>
        <w:pStyle w:val="Heading1"/>
      </w:pPr>
      <w:r>
        <w:t xml:space="preserve">Pembiayaan Infrastruktur per Sektor: Kenapa Tak Seragam</w:t>
      </w:r>
    </w:p>
    <w:p>
      <w:pPr>
        <w:pStyle w:val="FirstParagraph"/>
      </w:pPr>
      <w:r>
        <w:t xml:space="preserve">Seorang analis kredit yang baru pindah dari desk korporasi ke desk infrastruktur sering membawa satu asumsi mahal: bahwa</w:t>
      </w:r>
      <w:r>
        <w:t xml:space="preserve"> </w:t>
      </w:r>
      <w:r>
        <w:t xml:space="preserve">“proyek infrastruktur”</w:t>
      </w:r>
      <w:r>
        <w:t xml:space="preserve"> </w:t>
      </w:r>
      <w:r>
        <w:t xml:space="preserve">adalah satu kelas aset. Asumsi itu runtuh begitu proposal jalan tol diletakkan bersebelahan dengan proposal SPAM. Pembayar akhirnya berbeda, kepastian arus kasnya berbeda, tenornya berbeda. Pembiayaan infrastruktur tidak pernah seragam. Sektor, bukan ukuran proyek, yang paling menentukan bentuknya, termasuk ketika proyek harus bersandar pada</w:t>
      </w:r>
      <w:r>
        <w:t xml:space="preserve"> </w:t>
      </w:r>
      <w:hyperlink r:id="rId17">
        <w:r>
          <w:rPr>
            <w:rStyle w:val="Hyperlink"/>
          </w:rPr>
          <w:t xml:space="preserve">model pendanaan kreatif untuk proyek infrastruktur</w:t>
        </w:r>
      </w:hyperlink>
      <w:r>
        <w:t xml:space="preserve">. Dengan kebutuhan infrastruktur RPJMN 2025–2029 ditaksir sekitar USD 625,37 miliar atau Rp 10.146–10.303 triliun dan APBN serta APBD hanya menutup sekitar 40% (DJKN Kementerian Keuangan, 2025), memilah sektor bukan latihan akademis. Lima sektor di bawah dibaca dari satu sumbu: uang.</w:t>
      </w:r>
    </w:p>
    <w:p>
      <w:pPr>
        <w:pStyle w:val="BlockText"/>
      </w:pPr>
      <w:r>
        <w:rPr>
          <w:b/>
          <w:bCs/>
        </w:rPr>
        <w:t xml:space="preserve">Ringkasnya:</w:t>
      </w:r>
      <w:r>
        <w:t xml:space="preserve"> </w:t>
      </w:r>
      <w:r>
        <w:t xml:space="preserve">Pembiayaan infrastruktur adalah rangkaian cara mendanai pembangunan dan operasi aset publik seperti jalan tol, air minum, ketenagalistrikan, persampahan, dan telekomunikasi, melalui APBN/APBD, pinjaman, maupun skema Kerja Sama Pemerintah dengan Badan Usaha (KPBU). Bentuknya tidak seragam: tiap sektor memiliki pembayar akhir, prediktabilitas arus kas, dan tenor pengembalian modal yang berbeda.</w:t>
      </w:r>
    </w:p>
    <w:bookmarkStart w:id="20" w:name="X9d5c27e561fb7bda0f9951587c6905a8d99ad93"/>
    <w:p>
      <w:pPr>
        <w:pStyle w:val="Heading2"/>
      </w:pPr>
      <w:r>
        <w:t xml:space="preserve">Apa yang dimaksud model pembiayaan infrastruktur per sektor?</w:t>
      </w:r>
    </w:p>
    <w:p>
      <w:pPr>
        <w:pStyle w:val="FirstParagraph"/>
      </w:pPr>
      <w:r>
        <w:t xml:space="preserve">Model pembiayaan per sektor adalah cara memilah proyek berdasarkan profil uangnya, bukan ukuran investasinya. Tiga variabel membedakannya: siapa pembayar akhir dan seberapa andal ia membayar, dari mana pengembalian modal datang, serta berapa lama modal terkunci. Ketiganya berubah drastis antara jalan tol, air minum, dan persampahan.</w:t>
      </w:r>
    </w:p>
    <w:p>
      <w:pPr>
        <w:pStyle w:val="BodyText"/>
      </w:pPr>
      <w:r>
        <w:t xml:space="preserve">Ketiganya memicu pertanyaan kelayakan yang berbeda:</w:t>
      </w:r>
    </w:p>
    <w:p>
      <w:pPr>
        <w:pStyle w:val="Compact"/>
        <w:numPr>
          <w:ilvl w:val="0"/>
          <w:numId w:val="1001"/>
        </w:numPr>
      </w:pPr>
      <w:r>
        <w:rPr>
          <w:b/>
          <w:bCs/>
        </w:rPr>
        <w:t xml:space="preserve">Pembayar akhir.</w:t>
      </w:r>
      <w:r>
        <w:t xml:space="preserve"> </w:t>
      </w:r>
      <w:r>
        <w:t xml:space="preserve">Bisa jutaan pengguna bertarif, bisa satu badan usaha pembeli, bisa pemerintah. Semakin terkonsentrasi pembayarnya, semakin penilaian bergeser ke kualitas satu neraca.</w:t>
      </w:r>
    </w:p>
    <w:p>
      <w:pPr>
        <w:pStyle w:val="Compact"/>
        <w:numPr>
          <w:ilvl w:val="0"/>
          <w:numId w:val="1001"/>
        </w:numPr>
      </w:pPr>
      <w:r>
        <w:rPr>
          <w:b/>
          <w:bCs/>
        </w:rPr>
        <w:t xml:space="preserve">Sumber pengembalian.</w:t>
      </w:r>
      <w:r>
        <w:t xml:space="preserve"> </w:t>
      </w:r>
      <w:r>
        <w:t xml:space="preserve">Tarif pengguna berfluktuasi mengikuti permintaan; kontrak pembelian jangka panjang mengunci volume; pembayaran ketersediaan lepas dari pemakaian.</w:t>
      </w:r>
    </w:p>
    <w:p>
      <w:pPr>
        <w:pStyle w:val="Compact"/>
        <w:numPr>
          <w:ilvl w:val="0"/>
          <w:numId w:val="1001"/>
        </w:numPr>
      </w:pPr>
      <w:r>
        <w:rPr>
          <w:b/>
          <w:bCs/>
        </w:rPr>
        <w:t xml:space="preserve">Horizon modal terkunci.</w:t>
      </w:r>
      <w:r>
        <w:t xml:space="preserve"> </w:t>
      </w:r>
      <w:r>
        <w:t xml:space="preserve">Publikasi resmi 2026 menyebut masa kerja sama 15–30 tahun; tahap eksplorasi panjang menunda rupiah pertama.</w:t>
      </w:r>
    </w:p>
    <w:p>
      <w:pPr>
        <w:pStyle w:val="FirstParagraph"/>
      </w:pPr>
      <w:r>
        <w:t xml:space="preserve">Pemilahan ini bukan preferensi analis. PMK 68/2024, berlaku sejak 18 Oktober 2024, mewajibkan Badan Usaha Penjaminan Infrastruktur (BUPI) menerbitkan Acuan Alokasi Risiko tahunan lewat</w:t>
      </w:r>
      <w:r>
        <w:t xml:space="preserve"> </w:t>
      </w:r>
      <w:hyperlink r:id="rId18">
        <w:r>
          <w:rPr>
            <w:rStyle w:val="Hyperlink"/>
          </w:rPr>
          <w:t xml:space="preserve">Pasal 75</w:t>
        </w:r>
      </w:hyperlink>
      <w:r>
        <w:t xml:space="preserve">, dan acuan itu dipakai pemerintah, badan usaha, serta pemberi pinjaman sebagai rujukan bersama. Praktik serupa lazim pada</w:t>
      </w:r>
      <w:r>
        <w:t xml:space="preserve"> </w:t>
      </w:r>
      <w:hyperlink r:id="rId19">
        <w:r>
          <w:rPr>
            <w:rStyle w:val="Hyperlink"/>
          </w:rPr>
          <w:t xml:space="preserve">kerangka public private partnership di Indonesia</w:t>
        </w:r>
      </w:hyperlink>
      <w:r>
        <w:t xml:space="preserve">. Alasannya sederhana: kreditur menilai proyeksi arus kas, bukan nilai aset (portal KPBU Kementerian Keuangan), sehingga kualitas pihak yang membayar menjadi variabel harga.</w:t>
      </w:r>
    </w:p>
    <w:bookmarkEnd w:id="20"/>
    <w:bookmarkStart w:id="24" w:name="X3fdcda01518111442b5988593aa4388279b8693"/>
    <w:p>
      <w:pPr>
        <w:pStyle w:val="Heading2"/>
      </w:pPr>
      <w:r>
        <w:t xml:space="preserve">Mengapa proyek air minum lebih sulit dibiayai daripada jalan tol?</w:t>
      </w:r>
    </w:p>
    <w:p>
      <w:pPr>
        <w:pStyle w:val="FirstParagraph"/>
      </w:pPr>
      <w:r>
        <w:t xml:space="preserve">Karena pengembalian modalnya bergantung pada satu pembeli yang kualitas kreditnya belum kuat. Proyek SPAM menjual air curah kepada PDAM, dan menurut data BPPSPAM 2019 hanya 42% PDAM berkategori</w:t>
      </w:r>
      <w:r>
        <w:t xml:space="preserve"> </w:t>
      </w:r>
      <w:r>
        <w:t xml:space="preserve">“sehat”</w:t>
      </w:r>
      <w:r>
        <w:t xml:space="preserve">. Jalan tol menghadapi risiko yang sifatnya lain: bukan kredit satu pihak, melainkan ketidakpastian volume lalu lintas dari jutaan pengguna.</w:t>
      </w:r>
    </w:p>
    <w:p>
      <w:pPr>
        <w:pStyle w:val="BodyText"/>
      </w:pPr>
      <w:r>
        <w:t xml:space="preserve">Pada skema SPAM Regional, PDAM bertindak sebagai pembeli air curah (</w:t>
      </w:r>
      <w:r>
        <w:rPr>
          <w:i/>
          <w:iCs/>
        </w:rPr>
        <w:t xml:space="preserve">offtaker</w:t>
      </w:r>
      <w:r>
        <w:t xml:space="preserve">) dengan komitmen volume tertentu. Masalahnya muncul di hilir: pasokan sudah tersedia sementara jaringan distribusi dan sambungan rumah tangga belum siap menyerapnya, sehingga penyerapan riil kerap jatuh di bawah komitmen (</w:t>
      </w:r>
      <w:hyperlink r:id="rId21">
        <w:r>
          <w:rPr>
            <w:rStyle w:val="Hyperlink"/>
          </w:rPr>
          <w:t xml:space="preserve">portal KPBU Kementerian Keuangan</w:t>
        </w:r>
      </w:hyperlink>
      <w:r>
        <w:t xml:space="preserve">). Digabung dengan</w:t>
      </w:r>
      <w:r>
        <w:t xml:space="preserve"> </w:t>
      </w:r>
      <w:hyperlink r:id="rId22">
        <w:r>
          <w:rPr>
            <w:rStyle w:val="Hyperlink"/>
          </w:rPr>
          <w:t xml:space="preserve">kesehatan keuangan PDAM</w:t>
        </w:r>
      </w:hyperlink>
      <w:r>
        <w:t xml:space="preserve"> </w:t>
      </w:r>
      <w:r>
        <w:t xml:space="preserve">yang pada data 2019 menunjukkan 58% di antaranya kurang sehat atau sakit, komitmen di atas kertas tidak otomatis dibaca sebagai arus kas. Tarif diarahkan pada prinsip pemulihan biaya penuh (</w:t>
      </w:r>
      <w:r>
        <w:rPr>
          <w:i/>
          <w:iCs/>
        </w:rPr>
        <w:t xml:space="preserve">full cost recovery</w:t>
      </w:r>
      <w:r>
        <w:t xml:space="preserve">), tetapi kinerja nasional PDAM mengindikasikan banyak yang belum sampai ke sana.</w:t>
      </w:r>
    </w:p>
    <w:p>
      <w:pPr>
        <w:pStyle w:val="BodyText"/>
      </w:pPr>
      <w:r>
        <w:t xml:space="preserve">Jalan tol berdiri di ujung spektrum yang lain. Pendapatannya datang langsung dari pengguna tanpa perantara yang perlu dinilai kreditnya, namun besarnya ditentukan volume lalu lintas riil yang bisa menyimpang jauh dari proyeksi studi kelayakan. Tarif juga bukan katup yang bisa dibuka sewaktu-waktu:</w:t>
      </w:r>
      <w:r>
        <w:t xml:space="preserve"> </w:t>
      </w:r>
      <w:hyperlink r:id="rId23">
        <w:r>
          <w:rPr>
            <w:rStyle w:val="Hyperlink"/>
          </w:rPr>
          <w:t xml:space="preserve">mekanisme resmi BPJT</w:t>
        </w:r>
      </w:hyperlink>
      <w:r>
        <w:t xml:space="preserve"> </w:t>
      </w:r>
      <w:r>
        <w:t xml:space="preserve">(Kementerian PU, 2026) menetapkan evaluasi dua tahunan berdasarkan laju inflasi dan pemenuhan Standar Pelayanan Minimal (SPM), sehingga kenaikan tidak otomatis.</w:t>
      </w:r>
    </w:p>
    <w:p>
      <w:pPr>
        <w:pStyle w:val="BodyText"/>
      </w:pPr>
      <w:r>
        <w:t xml:space="preserve">Dua proyek, dua pertanyaan yang sama sekali berbeda.</w:t>
      </w:r>
    </w:p>
    <w:bookmarkEnd w:id="24"/>
    <w:bookmarkStart w:id="26" w:name="lima-profil-pembiayaan-dalam-satu-tabel"/>
    <w:p>
      <w:pPr>
        <w:pStyle w:val="Heading2"/>
      </w:pPr>
      <w:r>
        <w:t xml:space="preserve">Lima profil pembiayaan dalam satu tabel</w:t>
      </w:r>
    </w:p>
    <w:p>
      <w:pPr>
        <w:pStyle w:val="FirstParagraph"/>
      </w:pPr>
      <w:r>
        <w:t xml:space="preserve">Lima sektor, lima profil uang. Jalan tol dibayar penggunanya, air minum oleh PDAM, ketenagalistrikan oleh satu pembeli tunggal, persampahan oleh kombinasi</w:t>
      </w:r>
      <w:r>
        <w:t xml:space="preserve"> </w:t>
      </w:r>
      <w:r>
        <w:rPr>
          <w:i/>
          <w:iCs/>
        </w:rPr>
        <w:t xml:space="preserve">tipping fee</w:t>
      </w:r>
      <w:r>
        <w:t xml:space="preserve"> </w:t>
      </w:r>
      <w:r>
        <w:t xml:space="preserve">daerah dan pembelian listrik, telekomunikasi oleh pemerintah lewat pembayaran ketersediaan. Perbedaan itulah yang menentukan prediktabilitas arus kas, tenor, dan pemicu biaya dana.</w:t>
      </w:r>
    </w:p>
    <w:p>
      <w:pPr>
        <w:pStyle w:val="BodyText"/>
      </w:pPr>
      <w:r>
        <w:t xml:space="preserve">Tabel berikut membacanya dari kursi pemodal; semua baris berpijak pada bentuk kontrak</w:t>
      </w:r>
      <w:r>
        <w:t xml:space="preserve"> </w:t>
      </w:r>
      <w:hyperlink r:id="rId25">
        <w:r>
          <w:rPr>
            <w:rStyle w:val="Hyperlink"/>
          </w:rPr>
          <w:t xml:space="preserve">kerja sama pemerintah dengan badan usaha</w:t>
        </w:r>
      </w:hyperlink>
      <w:r>
        <w:t xml:space="preserve">. Kolom horizon memakai kisaran umum lintas sektor, bukan aturan per sektor.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Sektor</w:t>
            </w:r>
          </w:p>
        </w:tc>
        <w:tc>
          <w:tcPr/>
          <w:p>
            <w:pPr>
              <w:pStyle w:val="Compact"/>
            </w:pPr>
            <w:r>
              <w:t xml:space="preserve">Pembayar</w:t>
            </w:r>
          </w:p>
        </w:tc>
        <w:tc>
          <w:tcPr/>
          <w:p>
            <w:pPr>
              <w:pStyle w:val="Compact"/>
            </w:pPr>
            <w:r>
              <w:t xml:space="preserve">Prediktabilitas arus kas</w:t>
            </w:r>
          </w:p>
        </w:tc>
        <w:tc>
          <w:tcPr/>
          <w:p>
            <w:pPr>
              <w:pStyle w:val="Compact"/>
            </w:pPr>
            <w:r>
              <w:t xml:space="preserve">Kualitas kredit pembayar</w:t>
            </w:r>
          </w:p>
        </w:tc>
        <w:tc>
          <w:tcPr/>
          <w:p>
            <w:pPr>
              <w:pStyle w:val="Compact"/>
            </w:pPr>
            <w:r>
              <w:t xml:space="preserve">Horizon modal terkunci</w:t>
            </w:r>
          </w:p>
        </w:tc>
        <w:tc>
          <w:tcPr/>
          <w:p>
            <w:pPr>
              <w:pStyle w:val="Compact"/>
            </w:pPr>
            <w:r>
              <w:t xml:space="preserve">Pemicu biaya dana</w:t>
            </w:r>
          </w:p>
        </w:tc>
      </w:tr>
      <w:tr>
        <w:tc>
          <w:tcPr/>
          <w:p>
            <w:pPr>
              <w:pStyle w:val="Compact"/>
            </w:pPr>
            <w:r>
              <w:rPr>
                <w:b/>
                <w:bCs/>
              </w:rPr>
              <w:t xml:space="preserve">Jalan tol</w:t>
            </w:r>
          </w:p>
        </w:tc>
        <w:tc>
          <w:tcPr/>
          <w:p>
            <w:pPr>
              <w:pStyle w:val="Compact"/>
            </w:pPr>
            <w:r>
              <w:t xml:space="preserve">Pengguna jalan lewat tarif</w:t>
            </w:r>
          </w:p>
        </w:tc>
        <w:tc>
          <w:tcPr/>
          <w:p>
            <w:pPr>
              <w:pStyle w:val="Compact"/>
            </w:pPr>
            <w:r>
              <w:t xml:space="preserve">Sedang; ikut volume lalu lintas riil</w:t>
            </w:r>
          </w:p>
        </w:tc>
        <w:tc>
          <w:tcPr/>
          <w:p>
            <w:pPr>
              <w:pStyle w:val="Compact"/>
            </w:pPr>
            <w:r>
              <w:t xml:space="preserve">Agregat jutaan pengguna, bukan satu neraca; beralih ke risiko permintaan (</w:t>
            </w:r>
            <w:r>
              <w:rPr>
                <w:i/>
                <w:iCs/>
              </w:rPr>
              <w:t xml:space="preserve">demand risk</w:t>
            </w:r>
            <w:r>
              <w:t xml:space="preserve">)</w:t>
            </w:r>
          </w:p>
        </w:tc>
        <w:tc>
          <w:tcPr/>
          <w:p>
            <w:pPr>
              <w:pStyle w:val="Compact"/>
            </w:pPr>
            <w:r>
              <w:t xml:space="preserve">Kisaran umum KPBU 15–30 tahun (2026)</w:t>
            </w:r>
          </w:p>
        </w:tc>
        <w:tc>
          <w:tcPr/>
          <w:p>
            <w:pPr>
              <w:pStyle w:val="Compact"/>
            </w:pPr>
            <w:r>
              <w:t xml:space="preserve">Deviasi volume dan jeda penyesuaian tarif dua tahunan</w:t>
            </w:r>
          </w:p>
        </w:tc>
      </w:tr>
      <w:tr>
        <w:tc>
          <w:tcPr/>
          <w:p>
            <w:pPr>
              <w:pStyle w:val="Compact"/>
            </w:pPr>
            <w:r>
              <w:rPr>
                <w:b/>
                <w:bCs/>
              </w:rPr>
              <w:t xml:space="preserve">Air minum/SPAM</w:t>
            </w:r>
          </w:p>
        </w:tc>
        <w:tc>
          <w:tcPr/>
          <w:p>
            <w:pPr>
              <w:pStyle w:val="Compact"/>
            </w:pPr>
            <w:r>
              <w:t xml:space="preserve">PDAM, pembeli air curah (</w:t>
            </w:r>
            <w:r>
              <w:rPr>
                <w:i/>
                <w:iCs/>
              </w:rPr>
              <w:t xml:space="preserve">bulk water</w:t>
            </w:r>
            <w:r>
              <w:t xml:space="preserve">)</w:t>
            </w:r>
          </w:p>
        </w:tc>
        <w:tc>
          <w:tcPr/>
          <w:p>
            <w:pPr>
              <w:pStyle w:val="Compact"/>
            </w:pPr>
            <w:r>
              <w:t xml:space="preserve">Kuat di kontrak, meleset di penyerapan</w:t>
            </w:r>
          </w:p>
        </w:tc>
        <w:tc>
          <w:tcPr/>
          <w:p>
            <w:pPr>
              <w:pStyle w:val="Compact"/>
            </w:pPr>
            <w:r>
              <w:t xml:space="preserve">Titik lemah struktural; 42% PDAM sehat (BPPSPAM 2019)</w:t>
            </w:r>
          </w:p>
        </w:tc>
        <w:tc>
          <w:tcPr/>
          <w:p>
            <w:pPr>
              <w:pStyle w:val="Compact"/>
            </w:pPr>
            <w:r>
              <w:t xml:space="preserve">Kisaran umum 15–30 tahun (2026)</w:t>
            </w:r>
          </w:p>
        </w:tc>
        <w:tc>
          <w:tcPr/>
          <w:p>
            <w:pPr>
              <w:pStyle w:val="Compact"/>
            </w:pPr>
            <w:r>
              <w:t xml:space="preserve">Kredit PDAM dan tarif yang belum menutup biaya</w:t>
            </w:r>
          </w:p>
        </w:tc>
      </w:tr>
      <w:tr>
        <w:tc>
          <w:tcPr/>
          <w:p>
            <w:pPr>
              <w:pStyle w:val="Compact"/>
            </w:pPr>
            <w:r>
              <w:rPr>
                <w:b/>
                <w:bCs/>
              </w:rPr>
              <w:t xml:space="preserve">Ketenagalistrikan (termasuk panas bumi)</w:t>
            </w:r>
          </w:p>
        </w:tc>
        <w:tc>
          <w:tcPr/>
          <w:p>
            <w:pPr>
              <w:pStyle w:val="Compact"/>
            </w:pPr>
            <w:r>
              <w:t xml:space="preserve">PLN, pembeli tunggal (</w:t>
            </w:r>
            <w:r>
              <w:rPr>
                <w:i/>
                <w:iCs/>
              </w:rPr>
              <w:t xml:space="preserve">single buyer</w:t>
            </w:r>
            <w:r>
              <w:t xml:space="preserve">) lewat PPA</w:t>
            </w:r>
          </w:p>
        </w:tc>
        <w:tc>
          <w:tcPr/>
          <w:p>
            <w:pPr>
              <w:pStyle w:val="Compact"/>
            </w:pPr>
            <w:r>
              <w:t xml:space="preserve">Tinggi untuk komponen kapasitas; struktur</w:t>
            </w:r>
            <w:r>
              <w:t xml:space="preserve"> </w:t>
            </w:r>
            <w:r>
              <w:rPr>
                <w:i/>
                <w:iCs/>
              </w:rPr>
              <w:t xml:space="preserve">take-or-pay</w:t>
            </w:r>
          </w:p>
        </w:tc>
        <w:tc>
          <w:tcPr/>
          <w:p>
            <w:pPr>
              <w:pStyle w:val="Compact"/>
            </w:pPr>
            <w:r>
              <w:t xml:space="preserve">Satu neraca korporasi nasional; mudah dinilai, tetapi eksposur memusat</w:t>
            </w:r>
          </w:p>
        </w:tc>
        <w:tc>
          <w:tcPr/>
          <w:p>
            <w:pPr>
              <w:pStyle w:val="Compact"/>
            </w:pPr>
            <w:r>
              <w:t xml:space="preserve">PPA panjang;</w:t>
            </w:r>
            <w:r>
              <w:t xml:space="preserve"> </w:t>
            </w:r>
            <w:r>
              <w:rPr>
                <w:i/>
                <w:iCs/>
              </w:rPr>
              <w:t xml:space="preserve">take-or-pay</w:t>
            </w:r>
            <w:r>
              <w:t xml:space="preserve"> </w:t>
            </w:r>
            <w:r>
              <w:t xml:space="preserve">penuh lazim ~20 tahun pertama</w:t>
            </w:r>
          </w:p>
        </w:tc>
        <w:tc>
          <w:tcPr/>
          <w:p>
            <w:pPr>
              <w:pStyle w:val="Compact"/>
            </w:pPr>
            <w:r>
              <w:t xml:space="preserve">Risiko sumber daya (</w:t>
            </w:r>
            <w:r>
              <w:rPr>
                <w:i/>
                <w:iCs/>
              </w:rPr>
              <w:t xml:space="preserve">resource risk</w:t>
            </w:r>
            <w:r>
              <w:t xml:space="preserve">) pada EBT tahap eksplorasi</w:t>
            </w:r>
          </w:p>
        </w:tc>
      </w:tr>
      <w:tr>
        <w:tc>
          <w:tcPr/>
          <w:p>
            <w:pPr>
              <w:pStyle w:val="Compact"/>
            </w:pPr>
            <w:r>
              <w:rPr>
                <w:b/>
                <w:bCs/>
              </w:rPr>
              <w:t xml:space="preserve">Persampahan/PSEL</w:t>
            </w:r>
          </w:p>
        </w:tc>
        <w:tc>
          <w:tcPr/>
          <w:p>
            <w:pPr>
              <w:pStyle w:val="Compact"/>
            </w:pPr>
            <w:r>
              <w:rPr>
                <w:i/>
                <w:iCs/>
              </w:rPr>
              <w:t xml:space="preserve">Tipping fee</w:t>
            </w:r>
            <w:r>
              <w:t xml:space="preserve"> </w:t>
            </w:r>
            <w:r>
              <w:t xml:space="preserve">daerah plus pembelian listrik PLN</w:t>
            </w:r>
          </w:p>
        </w:tc>
        <w:tc>
          <w:tcPr/>
          <w:p>
            <w:pPr>
              <w:pStyle w:val="Compact"/>
            </w:pPr>
            <w:r>
              <w:t xml:space="preserve">Preseden paling tipis; dua aliran, dua profil risiko</w:t>
            </w:r>
          </w:p>
        </w:tc>
        <w:tc>
          <w:tcPr/>
          <w:p>
            <w:pPr>
              <w:pStyle w:val="Compact"/>
            </w:pPr>
            <w:r>
              <w:t xml:space="preserve">Campuran kapasitas fiskal daerah dan kredit PLN</w:t>
            </w:r>
          </w:p>
        </w:tc>
        <w:tc>
          <w:tcPr/>
          <w:p>
            <w:pPr>
              <w:pStyle w:val="Compact"/>
            </w:pPr>
            <w:r>
              <w:t xml:space="preserve">Panjang; angka tenor spesifik belum terverifikasi dari sumber primer</w:t>
            </w:r>
          </w:p>
        </w:tc>
        <w:tc>
          <w:tcPr/>
          <w:p>
            <w:pPr>
              <w:pStyle w:val="Compact"/>
            </w:pPr>
            <w:r>
              <w:t xml:space="preserve">Ketiadaan preseden sebagai pembanding harga risiko</w:t>
            </w:r>
          </w:p>
        </w:tc>
      </w:tr>
      <w:tr>
        <w:tc>
          <w:tcPr/>
          <w:p>
            <w:pPr>
              <w:pStyle w:val="Compact"/>
            </w:pPr>
            <w:r>
              <w:rPr>
                <w:b/>
                <w:bCs/>
              </w:rPr>
              <w:t xml:space="preserve">Telekomunikasi/satelit</w:t>
            </w:r>
          </w:p>
        </w:tc>
        <w:tc>
          <w:tcPr/>
          <w:p>
            <w:pPr>
              <w:pStyle w:val="Compact"/>
            </w:pPr>
            <w:r>
              <w:t xml:space="preserve">Pemerintah, lewat pembayaran ketersediaan dana USO</w:t>
            </w:r>
          </w:p>
        </w:tc>
        <w:tc>
          <w:tcPr/>
          <w:p>
            <w:pPr>
              <w:pStyle w:val="Compact"/>
            </w:pPr>
            <w:r>
              <w:t xml:space="preserve">Paling terprediksi; lepas dari volume pemakaian</w:t>
            </w:r>
          </w:p>
        </w:tc>
        <w:tc>
          <w:tcPr/>
          <w:p>
            <w:pPr>
              <w:pStyle w:val="Compact"/>
            </w:pPr>
            <w:r>
              <w:t xml:space="preserve">Pembayar tunggal berbasis dana publik</w:t>
            </w:r>
          </w:p>
        </w:tc>
        <w:tc>
          <w:tcPr/>
          <w:p>
            <w:pPr>
              <w:pStyle w:val="Compact"/>
            </w:pPr>
            <w:r>
              <w:t xml:space="preserve">Pola Palapa Ring dan SATRIA: sekitar 15 tahun pasca-konstruksi</w:t>
            </w:r>
          </w:p>
        </w:tc>
        <w:tc>
          <w:tcPr/>
          <w:p>
            <w:pPr>
              <w:pStyle w:val="Compact"/>
            </w:pPr>
            <w:r>
              <w:t xml:space="preserve">Kelancaran pencairan anggaran publik tahunan</w:t>
            </w:r>
          </w:p>
        </w:tc>
      </w:tr>
    </w:tbl>
    <w:bookmarkEnd w:id="26"/>
    <w:bookmarkStart w:id="28" w:name="Xf56695117c3f49ba9cb9e7aa5cf2aa37b19459e"/>
    <w:p>
      <w:pPr>
        <w:pStyle w:val="Heading2"/>
      </w:pPr>
      <w:r>
        <w:t xml:space="preserve">Sektor yang jalur pembiayaannya belum mapan</w:t>
      </w:r>
    </w:p>
    <w:p>
      <w:pPr>
        <w:pStyle w:val="FirstParagraph"/>
      </w:pPr>
      <w:r>
        <w:t xml:space="preserve">Persampahan dan energi baru terbarukan tahap awal membayar premi karena pemberi pinjaman kekurangan pembanding. Hingga Juni 2026, baru satu proyek KPBU sektor persampahan yang memperoleh penjaminan pemerintah, yaitu PSEL/TPPAS Regional Legok Nangka di Jawa Barat. Tanpa preseden transaksi, harga risiko tidak punya titik acuan.</w:t>
      </w:r>
    </w:p>
    <w:p>
      <w:pPr>
        <w:pStyle w:val="BodyText"/>
      </w:pPr>
      <w:r>
        <w:t xml:space="preserve">Betapa tipisnya jalur itu terbaca dari angka portofolio: dari 61 proyek yang dijamin (38 KPBU dan 23 non-KPBU) di tujuh sektor, dengan nilai investasi lebih dari Rp 732 triliun dan nilai penjaminan Rp 113 triliun, persampahan hanya diwakili satu proyek (data portofolio BUPI, posisi Juni 2026). Nilai investasi dan nilai penjaminan adalah dua besaran berbeda, bukan satu angka.</w:t>
      </w:r>
    </w:p>
    <w:p>
      <w:pPr>
        <w:pStyle w:val="BodyText"/>
      </w:pPr>
      <w:r>
        <w:t xml:space="preserve">Kerangka regulasinya sendiri justru menguat.</w:t>
      </w:r>
      <w:r>
        <w:t xml:space="preserve"> </w:t>
      </w:r>
      <w:hyperlink r:id="rId27">
        <w:r>
          <w:rPr>
            <w:rStyle w:val="Hyperlink"/>
          </w:rPr>
          <w:t xml:space="preserve">Perpres No. 109 Tahun 2025</w:t>
        </w:r>
      </w:hyperlink>
      <w:r>
        <w:t xml:space="preserve">, ditetapkan 10 Oktober 2025 dan resmi mencabut Perpres No. 35 Tahun 2018, memperluas bentuk pengolahan sampah menjadi empat jalur produk dan tidak lagi membatasinya pada daftar lokasi prioritas. Rincian harga dan tenor kewajiban beli listriknya hanya beredar di sumber sekunder, sehingga lebih aman dibaca sebagai kerangka, bukan angka.</w:t>
      </w:r>
    </w:p>
    <w:p>
      <w:pPr>
        <w:pStyle w:val="BodyText"/>
      </w:pPr>
      <w:r>
        <w:t xml:space="preserve">Bagi pemodal, kekosongan preseden bukan soal hukum. Ia soal harga, dan muncul dalam tiga bentuk:</w:t>
      </w:r>
    </w:p>
    <w:p>
      <w:pPr>
        <w:pStyle w:val="Compact"/>
        <w:numPr>
          <w:ilvl w:val="0"/>
          <w:numId w:val="1002"/>
        </w:numPr>
      </w:pPr>
      <w:r>
        <w:rPr>
          <w:b/>
          <w:bCs/>
        </w:rPr>
        <w:t xml:space="preserve">Margin lebih tebal.</w:t>
      </w:r>
      <w:r>
        <w:t xml:space="preserve"> </w:t>
      </w:r>
      <w:r>
        <w:t xml:space="preserve">Tanpa transaksi pembanding, ketidakpastian dihargai sebagai premi, bukan diselesaikan dengan data.</w:t>
      </w:r>
    </w:p>
    <w:p>
      <w:pPr>
        <w:pStyle w:val="Compact"/>
        <w:numPr>
          <w:ilvl w:val="0"/>
          <w:numId w:val="1002"/>
        </w:numPr>
      </w:pPr>
      <w:r>
        <w:rPr>
          <w:b/>
          <w:bCs/>
        </w:rPr>
        <w:t xml:space="preserve">Tenor lebih pendek.</w:t>
      </w:r>
      <w:r>
        <w:t xml:space="preserve"> </w:t>
      </w:r>
      <w:r>
        <w:t xml:space="preserve">Eksposur diperpendek pada sektor yang belum melewati satu siklus operasi penuh.</w:t>
      </w:r>
    </w:p>
    <w:p>
      <w:pPr>
        <w:pStyle w:val="Compact"/>
        <w:numPr>
          <w:ilvl w:val="0"/>
          <w:numId w:val="1002"/>
        </w:numPr>
      </w:pPr>
      <w:r>
        <w:rPr>
          <w:b/>
          <w:bCs/>
        </w:rPr>
        <w:t xml:space="preserve">Syarat lebih ketat.</w:t>
      </w:r>
      <w:r>
        <w:t xml:space="preserve"> </w:t>
      </w:r>
      <w:r>
        <w:t xml:space="preserve">Rasio cadangan, pembatasan dividen, dan pemicu peninjauan disusun lebih konservatif.</w:t>
      </w:r>
    </w:p>
    <w:p>
      <w:pPr>
        <w:pStyle w:val="FirstParagraph"/>
      </w:pPr>
      <w:r>
        <w:t xml:space="preserve">Panas bumi menghadapi hal serupa selama pembuktian cadangannya belum tuntas.</w:t>
      </w:r>
    </w:p>
    <w:bookmarkEnd w:id="28"/>
    <w:bookmarkStart w:id="30" w:name="Xfd7ce74b459a55a9203519d98d922604c5e62e8"/>
    <w:p>
      <w:pPr>
        <w:pStyle w:val="Heading2"/>
      </w:pPr>
      <w:r>
        <w:t xml:space="preserve">Yang tidak bisa diperbaiki dengan berpindah sektor</w:t>
      </w:r>
    </w:p>
    <w:p>
      <w:pPr>
        <w:pStyle w:val="FirstParagraph"/>
      </w:pPr>
      <w:r>
        <w:t xml:space="preserve">Memindahkan proyek ke sektor yang dianggap lebih</w:t>
      </w:r>
      <w:r>
        <w:t xml:space="preserve"> </w:t>
      </w:r>
      <w:r>
        <w:rPr>
          <w:i/>
          <w:iCs/>
        </w:rPr>
        <w:t xml:space="preserve">bankable</w:t>
      </w:r>
      <w:r>
        <w:t xml:space="preserve"> </w:t>
      </w:r>
      <w:r>
        <w:t xml:space="preserve">tidak menyembuhkan tiga hal: pihak pembayar yang neracanya lemah, dokumen penyiapan yang tipis, dan permintaan yang memang tidak ada. Ketiganya melekat pada proyek, bukan pada sektornya. Penjaminan pemerintah pun hanya menutup risiko sisi pemerintah dalam kontrak.</w:t>
      </w:r>
    </w:p>
    <w:p>
      <w:pPr>
        <w:pStyle w:val="BodyText"/>
      </w:pPr>
      <w:r>
        <w:t xml:space="preserve">Sektor dengan pembeli tunggal yang kuat kerap disalahpahami sebagai sektor tanpa risiko permintaan. Struktur</w:t>
      </w:r>
      <w:r>
        <w:t xml:space="preserve"> </w:t>
      </w:r>
      <w:r>
        <w:rPr>
          <w:i/>
          <w:iCs/>
        </w:rPr>
        <w:t xml:space="preserve">take-or-pay</w:t>
      </w:r>
      <w:r>
        <w:t xml:space="preserve"> </w:t>
      </w:r>
      <w:r>
        <w:t xml:space="preserve">memang membuat arus kas pembangkit sangat terkontrak, tetapi ia memindahkan risiko penyerapan ke neraca pembelinya, bukan melenyapkannya (analisis sektor ketenagalistrikan, antara lain JETP Indonesia). Risiko yang menumpuk di satu neraca akhirnya kembali ke pintu kreditur dalam bentuk lain.</w:t>
      </w:r>
    </w:p>
    <w:p>
      <w:pPr>
        <w:pStyle w:val="BodyText"/>
      </w:pPr>
      <w:r>
        <w:t xml:space="preserve">Satu pemicu biaya dana yang sering luput justru tidak sektoral: ketidaksesuaian mata uang. Proyek berpendapatan rupiah dengan utang valuta asing menanggung eksposur yang tidak hilang dengan berpindah sektor, dan</w:t>
      </w:r>
      <w:r>
        <w:t xml:space="preserve"> </w:t>
      </w:r>
      <w:hyperlink r:id="rId29">
        <w:r>
          <w:rPr>
            <w:rStyle w:val="Hyperlink"/>
          </w:rPr>
          <w:t xml:space="preserve">Bank Dunia</w:t>
        </w:r>
      </w:hyperlink>
      <w:r>
        <w:t xml:space="preserve"> </w:t>
      </w:r>
      <w:r>
        <w:t xml:space="preserve">menyarankan penyelarasan struktur pembiayaan dengan komposisi mata uang pendapatan sebelum menambah lapisan mitigasi lain.</w:t>
      </w:r>
    </w:p>
    <w:p>
      <w:pPr>
        <w:pStyle w:val="BodyText"/>
      </w:pPr>
      <w:r>
        <w:t xml:space="preserve">Penjaminan pemerintah berada di dalam lapis mitigasi itu, bukan di atasnya. Ia menutup risiko yang menjadi tanggung jawab Penanggung Jawab Proyek Kerja Sama (PJPK) di bawah payung Perpres 38/2015, seperti perubahan hukum yang diskriminatif, keterlambatan persetujuan pemerintah, atau terminasi akibat tindakan pemerintah. Ia bukan subsidi, tidak menanggung risiko komersial badan usaha, dan umumnya disertai hak regres.</w:t>
      </w:r>
    </w:p>
    <w:p>
      <w:pPr>
        <w:pStyle w:val="BodyText"/>
      </w:pPr>
      <w:r>
        <w:t xml:space="preserve">Sektor mengubah bentuk risiko. Ia tidak mengubah kualitas proyek.</w:t>
      </w:r>
    </w:p>
    <w:bookmarkEnd w:id="30"/>
    <w:bookmarkStart w:id="38" w:name="faq-pertanyaan-yang-sering-diajukan"/>
    <w:p>
      <w:pPr>
        <w:pStyle w:val="Heading2"/>
      </w:pPr>
      <w:r>
        <w:t xml:space="preserve">FAQ (Pertanyaan yang Sering Diajukan)</w:t>
      </w:r>
    </w:p>
    <w:bookmarkStart w:id="31" w:name="apa-itu-pembiayaan-infrastruktur"/>
    <w:p>
      <w:pPr>
        <w:pStyle w:val="Heading3"/>
      </w:pPr>
      <w:r>
        <w:t xml:space="preserve">Apa itu pembiayaan infrastruktur?</w:t>
      </w:r>
    </w:p>
    <w:p>
      <w:pPr>
        <w:pStyle w:val="FirstParagraph"/>
      </w:pPr>
      <w:r>
        <w:t xml:space="preserve">Pembiayaan infrastruktur adalah keseluruhan cara mendanai pembangunan dan pengoperasian aset publik, dari APBN/APBD, pinjaman, obligasi, hingga skema KPBU. Bentuknya berbeda antarsektor karena tiap sektor punya pembayar akhir dan pola arus kas sendiri. PMK 68/2024 Pasal 75 mewajibkan penerbitan acuan alokasi risiko tahunan sebagai rujukan pihak yang menyiapkan dan mendanai proyek.</w:t>
      </w:r>
    </w:p>
    <w:bookmarkEnd w:id="31"/>
    <w:bookmarkStart w:id="32" w:name="X86b18aae9f4e985a8942e7afbdb0bf7e32c1545"/>
    <w:p>
      <w:pPr>
        <w:pStyle w:val="Heading3"/>
      </w:pPr>
      <w:r>
        <w:t xml:space="preserve">Siapa yang membiayai proyek pada skema KPBU?</w:t>
      </w:r>
    </w:p>
    <w:p>
      <w:pPr>
        <w:pStyle w:val="FirstParagraph"/>
      </w:pPr>
      <w:r>
        <w:t xml:space="preserve">Pembiayaan umumnya berasal dari badan usaha pelaksana (BUP) bentukan investor, dengan komposisi lazim sekitar 70–80% utang dan 20–30% ekuitas (portal KPBU Kementerian Keuangan, diakses September 2026). Kreditur menilai proyeksi arus kas, bukan nilai aset. Pemerintah jarang mendanai konstruksi langsung, tetapi dapat menjamin risiko sisi pemerintah dalam kontrak.</w:t>
      </w:r>
    </w:p>
    <w:bookmarkEnd w:id="32"/>
    <w:bookmarkStart w:id="33" w:name="X6df420ad0c03505f82407f1200132b7e62c5deb"/>
    <w:p>
      <w:pPr>
        <w:pStyle w:val="Heading3"/>
      </w:pPr>
      <w:r>
        <w:t xml:space="preserve">Apa saja sumber pembiayaan jalan tol di Indonesia?</w:t>
      </w:r>
    </w:p>
    <w:p>
      <w:pPr>
        <w:pStyle w:val="FirstParagraph"/>
      </w:pPr>
      <w:r>
        <w:t xml:space="preserve">Konstruksi jalan tol umumnya dibiayai kombinasi ekuitas sponsor dan pinjaman atau obligasi melalui badan usaha pelaksana, dengan pengembalian dari tarif pengguna. Karena pembayarnya jutaan pengguna, arus kas bergantung pada volume lalu lintas riil. Tarif dievaluasi dua tahunan berdasarkan inflasi dan pemenuhan SPM (BPJT, 2026).</w:t>
      </w:r>
    </w:p>
    <w:bookmarkEnd w:id="33"/>
    <w:bookmarkStart w:id="34" w:name="Xd6747c86d187ebdb228a7779e73192f6436c5e8"/>
    <w:p>
      <w:pPr>
        <w:pStyle w:val="Heading3"/>
      </w:pPr>
      <w:r>
        <w:t xml:space="preserve">Mengapa proyek air minum sulit menarik pendanaan swasta?</w:t>
      </w:r>
    </w:p>
    <w:p>
      <w:pPr>
        <w:pStyle w:val="FirstParagraph"/>
      </w:pPr>
      <w:r>
        <w:t xml:space="preserve">Proyek SPAM bergantung pada PDAM sebagai pembeli air curah, sehingga kualitas kreditnya menentukan kelayakan pembiayaan. Data BPPSPAM 2019 mencatat hanya 42% PDAM berkategori sehat. Penyerapan air juga sering rendah karena jaringan distribusi dan sambungan rumah tangga belum siap saat pasokan tersedia.</w:t>
      </w:r>
    </w:p>
    <w:bookmarkEnd w:id="34"/>
    <w:bookmarkStart w:id="35" w:name="X36fd3c0cc6479f8558dfaa8dc19a07e31fc902a"/>
    <w:p>
      <w:pPr>
        <w:pStyle w:val="Heading3"/>
      </w:pPr>
      <w:r>
        <w:t xml:space="preserve">Apa bedanya pembiayaan sektor ketenagalistrikan dan sektor persampahan?</w:t>
      </w:r>
    </w:p>
    <w:p>
      <w:pPr>
        <w:pStyle w:val="FirstParagraph"/>
      </w:pPr>
      <w:r>
        <w:t xml:space="preserve">Di ketenagalistrikan, PLN membeli listrik lewat perjanjian jangka panjang yang umumnya bersifat</w:t>
      </w:r>
      <w:r>
        <w:t xml:space="preserve"> </w:t>
      </w:r>
      <w:r>
        <w:rPr>
          <w:i/>
          <w:iCs/>
        </w:rPr>
        <w:t xml:space="preserve">take-or-pay</w:t>
      </w:r>
      <w:r>
        <w:t xml:space="preserve">, sehingga arus kasnya relatif terkontrak. Di persampahan, pendapatan datang dari</w:t>
      </w:r>
      <w:r>
        <w:t xml:space="preserve"> </w:t>
      </w:r>
      <w:r>
        <w:rPr>
          <w:i/>
          <w:iCs/>
        </w:rPr>
        <w:t xml:space="preserve">tipping fee</w:t>
      </w:r>
      <w:r>
        <w:t xml:space="preserve"> </w:t>
      </w:r>
      <w:r>
        <w:t xml:space="preserve">daerah dan pembelian listrik hasil olahan di bawah Perpres 109/2025, dengan preseden pembiayaan yang masih sangat tipis per Juni 2026.</w:t>
      </w:r>
    </w:p>
    <w:bookmarkEnd w:id="35"/>
    <w:bookmarkStart w:id="36" w:name="Xa2ede3f49862917546094e75946ba138c4b323c"/>
    <w:p>
      <w:pPr>
        <w:pStyle w:val="Heading3"/>
      </w:pPr>
      <w:r>
        <w:t xml:space="preserve">Berapa lama umumnya kerja sama proyek infrastruktur berlangsung?</w:t>
      </w:r>
    </w:p>
    <w:p>
      <w:pPr>
        <w:pStyle w:val="FirstParagraph"/>
      </w:pPr>
      <w:r>
        <w:t xml:space="preserve">Tidak ada angka baku lintas sektor. Publikasi resmi 2026 menyebut kisaran 15–30 tahun, sementara proyek yang telah mencapai</w:t>
      </w:r>
      <w:r>
        <w:t xml:space="preserve"> </w:t>
      </w:r>
      <w:r>
        <w:rPr>
          <w:i/>
          <w:iCs/>
        </w:rPr>
        <w:t xml:space="preserve">financial close</w:t>
      </w:r>
      <w:r>
        <w:t xml:space="preserve"> </w:t>
      </w:r>
      <w:r>
        <w:t xml:space="preserve">menunjukkan masa kerja sama sekitar 10–15 tahun setelah penyiapan 3–4 tahun. Pembayaran ketersediaan Palapa Ring dan SATRIA dilaporkan berjalan sekitar 15 tahun pasca-konstruksi.</w:t>
      </w:r>
    </w:p>
    <w:bookmarkEnd w:id="36"/>
    <w:bookmarkStart w:id="37" w:name="Xfa81fa32d6da0418bb0d32b46665b7ee6d9de74"/>
    <w:p>
      <w:pPr>
        <w:pStyle w:val="Heading3"/>
      </w:pPr>
      <w:r>
        <w:t xml:space="preserve">Apakah perusahaan pembiayaan infrastruktur sama dengan penjamin infrastruktur?</w:t>
      </w:r>
    </w:p>
    <w:p>
      <w:pPr>
        <w:pStyle w:val="FirstParagraph"/>
      </w:pPr>
      <w:r>
        <w:t xml:space="preserve">Tidak sama.</w:t>
      </w:r>
      <w:r>
        <w:t xml:space="preserve"> </w:t>
      </w:r>
      <w:r>
        <w:t xml:space="preserve">“Perusahaan pembiayaan infrastruktur”</w:t>
      </w:r>
      <w:r>
        <w:t xml:space="preserve"> </w:t>
      </w:r>
      <w:r>
        <w:t xml:space="preserve">merujuk pada lembaga yang meminjamkan atau berinvestasi langsung ke proyek, seperti PT SMI dan PT IIF, sementara LPEI membiayai ekspor. PT PII berperan lain: sebagai Badan Usaha Penjaminan Infrastruktur di bawah Kementerian Keuangan, ia menerbitkan dan menstrukturkan penjaminan pemerintah, bukan memberi pinjaman.</w:t>
      </w:r>
    </w:p>
    <w:bookmarkEnd w:id="37"/>
    <w:bookmarkEnd w:id="38"/>
    <w:bookmarkStart w:id="39" w:name="kesimpulan"/>
    <w:p>
      <w:pPr>
        <w:pStyle w:val="Heading2"/>
      </w:pPr>
      <w:r>
        <w:t xml:space="preserve">Kesimpulan</w:t>
      </w:r>
    </w:p>
    <w:p>
      <w:pPr>
        <w:pStyle w:val="FirstParagraph"/>
      </w:pPr>
      <w:r>
        <w:t xml:space="preserve">Kembali ke analis yang menaruh proposal tol di sebelah proposal SPAM: yang membedakan keduanya bukan ukuran investasi, melainkan siapa yang membayar dan seberapa andal ia membayar. Membaca pembiayaan infrastruktur dari sumbu itu lebih dulu mencegah salah harga risiko sejak awal. Satu lapis risiko memang bisa dipindahkan, yaitu yang berada di sisi pemerintah, dan di situlah instrumen Penjaminan Pemerintah bekerja. PT PII menerbitkannya selaku BUPI, dengan dua efek sekaligus: kelayakan kredit proyek naik, dan kewajiban kontinjensi pemerintah tetap dipagari. Waktu terbaik membicarakannya adalah ketika struktur transaksi belum dikunci.</w:t>
      </w:r>
    </w:p>
    <w:p>
      <w:pPr>
        <w:pStyle w:val="BodyText"/>
      </w:pPr>
      <w:r>
        <w:t xml:space="preserve">Jika Anda ingin menelusuri cakupan risiko yang dapat dijamin pada proyek KPBU, titik awalnya ada di ptpii.co.id.</w:t>
      </w:r>
    </w:p>
    <w:bookmarkEnd w:id="39"/>
    <w:bookmarkEnd w:id="4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im.ciptakarya.pu.go.id/bppspam/detail_berita/332" TargetMode="External" /><Relationship Type="http://schemas.openxmlformats.org/officeDocument/2006/relationships/hyperlink" Id="rId23" Target="https://bpjt.pu.go.id/faq/bagaimana-mekanisme-penyesuaian-tarif-tol/" TargetMode="External" /><Relationship Type="http://schemas.openxmlformats.org/officeDocument/2006/relationships/hyperlink" Id="rId18" Target="https://jdih.kemenkeu.go.id/dok/pmk-68-tahun-2024" TargetMode="External" /><Relationship Type="http://schemas.openxmlformats.org/officeDocument/2006/relationships/hyperlink" Id="rId21" Target="https://kpbu.kemenkeu.go.id/read/1192-1553/umum/kajian-opini-publik/infrastruktur-air-minum-untuk-masyarakat-indonesia" TargetMode="External" /><Relationship Type="http://schemas.openxmlformats.org/officeDocument/2006/relationships/hyperlink" Id="rId27" Target="https://peraturan.bpk.go.id/Details/334718/perpres-no-109-tahun-2025" TargetMode="External" /><Relationship Type="http://schemas.openxmlformats.org/officeDocument/2006/relationships/hyperlink" Id="rId29" Target="https://ppp.worldbank.org/guarantees" TargetMode="External" /><Relationship Type="http://schemas.openxmlformats.org/officeDocument/2006/relationships/hyperlink" Id="rId25"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19"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2" Target="http://sim.ciptakarya.pu.go.id/bppspam/detail_berita/332" TargetMode="External" /><Relationship Type="http://schemas.openxmlformats.org/officeDocument/2006/relationships/hyperlink" Id="rId23" Target="https://bpjt.pu.go.id/faq/bagaimana-mekanisme-penyesuaian-tarif-tol/" TargetMode="External" /><Relationship Type="http://schemas.openxmlformats.org/officeDocument/2006/relationships/hyperlink" Id="rId18" Target="https://jdih.kemenkeu.go.id/dok/pmk-68-tahun-2024" TargetMode="External" /><Relationship Type="http://schemas.openxmlformats.org/officeDocument/2006/relationships/hyperlink" Id="rId21" Target="https://kpbu.kemenkeu.go.id/read/1192-1553/umum/kajian-opini-publik/infrastruktur-air-minum-untuk-masyarakat-indonesia" TargetMode="External" /><Relationship Type="http://schemas.openxmlformats.org/officeDocument/2006/relationships/hyperlink" Id="rId27" Target="https://peraturan.bpk.go.id/Details/334718/perpres-no-109-tahun-2025" TargetMode="External" /><Relationship Type="http://schemas.openxmlformats.org/officeDocument/2006/relationships/hyperlink" Id="rId29" Target="https://ppp.worldbank.org/guarantees" TargetMode="External" /><Relationship Type="http://schemas.openxmlformats.org/officeDocument/2006/relationships/hyperlink" Id="rId25"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19"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2026-09-22T01:19:48Z</dcterms:created>
  <dcterms:modified xsi:type="dcterms:W3CDTF">2026-09-22T01:19:48Z</dcterms:modified>
</cp:coreProperties>
</file>

<file path=docProps/custom.xml><?xml version="1.0" encoding="utf-8"?>
<Properties xmlns="http://schemas.openxmlformats.org/officeDocument/2006/custom-properties" xmlns:vt="http://schemas.openxmlformats.org/officeDocument/2006/docPropsVTypes"/>
</file>