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Infrastruktur Babak Kedua: Mendaur Ulang Modal"</w:t>
      </w:r>
      <w:r>
        <w:br/>
      </w:r>
      <w:r>
        <w:rPr>
          <w:rStyle w:val="FunctionTok"/>
        </w:rPr>
        <w:t xml:space="preserve">meta_title</w:t>
      </w:r>
      <w:r>
        <w:rPr>
          <w:rStyle w:val="KeywordTok"/>
        </w:rPr>
        <w:t xml:space="preserve">:</w:t>
      </w:r>
      <w:r>
        <w:rPr>
          <w:rStyle w:val="AttributeTok"/>
        </w:rPr>
        <w:t xml:space="preserve"> </w:t>
      </w:r>
      <w:r>
        <w:rPr>
          <w:rStyle w:val="StringTok"/>
        </w:rPr>
        <w:t xml:space="preserve">"Pembiayaan Infrastruktur Babak Kedua: Daur Ulang Modal"</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infrastruktur tidak berhenti di financial close. Empat jalur mendaur ulang modal aset beroperasi: refinancing, obligasi proyek, KIK-EBA, KETUPI."</w:t>
      </w:r>
      <w:r>
        <w:br/>
      </w:r>
      <w:r>
        <w:rPr>
          <w:rStyle w:val="FunctionTok"/>
        </w:rPr>
        <w:t xml:space="preserve">slug</w:t>
      </w:r>
      <w:r>
        <w:rPr>
          <w:rStyle w:val="KeywordTok"/>
        </w:rPr>
        <w:t xml:space="preserve">:</w:t>
      </w:r>
      <w:r>
        <w:rPr>
          <w:rStyle w:val="AttributeTok"/>
        </w:rPr>
        <w:t xml:space="preserve"> </w:t>
      </w:r>
      <w:r>
        <w:rPr>
          <w:rStyle w:val="StringTok"/>
        </w:rPr>
        <w:t xml:space="preserve">"pembiayaan-infrastruktur-daur-ulang-modal"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Infrastruktur"</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"daur ulang modal infrastruktur"</w:t>
      </w:r>
      <w:r>
        <w:rPr>
          <w:rStyle w:val="KeywordTok"/>
        </w:rPr>
        <w:t xml:space="preserve">,</w:t>
      </w:r>
      <w:r>
        <w:rPr>
          <w:rStyle w:val="AttributeTok"/>
        </w:rPr>
        <w:t xml:space="preserve"> </w:t>
      </w:r>
      <w:r>
        <w:rPr>
          <w:rStyle w:val="StringTok"/>
        </w:rPr>
        <w:t xml:space="preserve">"refinancing proyek infrastruktur"</w:t>
      </w:r>
      <w:r>
        <w:rPr>
          <w:rStyle w:val="KeywordTok"/>
        </w:rPr>
        <w:t xml:space="preserve">,</w:t>
      </w:r>
      <w:r>
        <w:rPr>
          <w:rStyle w:val="AttributeTok"/>
        </w:rPr>
        <w:t xml:space="preserve"> </w:t>
      </w:r>
      <w:r>
        <w:rPr>
          <w:rStyle w:val="StringTok"/>
        </w:rPr>
        <w:t xml:space="preserve">"obligasi proyek"</w:t>
      </w:r>
      <w:r>
        <w:rPr>
          <w:rStyle w:val="KeywordTok"/>
        </w:rPr>
        <w:t xml:space="preserve">,</w:t>
      </w:r>
      <w:r>
        <w:rPr>
          <w:rStyle w:val="AttributeTok"/>
        </w:rPr>
        <w:t xml:space="preserve"> </w:t>
      </w:r>
      <w:r>
        <w:rPr>
          <w:rStyle w:val="StringTok"/>
        </w:rPr>
        <w:t xml:space="preserve">"sekuritisasi KIK-EBA"</w:t>
      </w:r>
      <w:r>
        <w:rPr>
          <w:rStyle w:val="KeywordTok"/>
        </w:rPr>
        <w:t xml:space="preserve">,</w:t>
      </w:r>
      <w:r>
        <w:rPr>
          <w:rStyle w:val="AttributeTok"/>
        </w:rPr>
        <w:t xml:space="preserve"> </w:t>
      </w:r>
      <w:r>
        <w:rPr>
          <w:rStyle w:val="StringTok"/>
        </w:rPr>
        <w:t xml:space="preserve">"KETUPI"</w:t>
      </w:r>
      <w:r>
        <w:rPr>
          <w:rStyle w:val="KeywordTok"/>
        </w:rPr>
        <w:t xml:space="preserve">,</w:t>
      </w:r>
      <w:r>
        <w:rPr>
          <w:rStyle w:val="AttributeTok"/>
        </w:rPr>
        <w:t xml:space="preserve"> </w:t>
      </w:r>
      <w:r>
        <w:rPr>
          <w:rStyle w:val="StringTok"/>
        </w:rPr>
        <w:t xml:space="preserve">"hak pengelolaan terbatas"</w:t>
      </w:r>
      <w:r>
        <w:rPr>
          <w:rStyle w:val="KeywordTok"/>
        </w:rPr>
        <w:t xml:space="preserve">,</w:t>
      </w:r>
      <w:r>
        <w:rPr>
          <w:rStyle w:val="AttributeTok"/>
        </w:rPr>
        <w:t xml:space="preserve"> </w:t>
      </w:r>
      <w:r>
        <w:rPr>
          <w:rStyle w:val="StringTok"/>
        </w:rPr>
        <w:t xml:space="preserve">"financial close"</w:t>
      </w:r>
      <w:r>
        <w:rPr>
          <w:rStyle w:val="KeywordTok"/>
        </w:rPr>
        <w:t xml:space="preserve">,</w:t>
      </w:r>
      <w:r>
        <w:rPr>
          <w:rStyle w:val="AttributeTok"/>
        </w:rPr>
        <w:t xml:space="preserve"> </w:t>
      </w:r>
      <w:r>
        <w:rPr>
          <w:rStyle w:val="StringTok"/>
        </w:rPr>
        <w:t xml:space="preserve">"aset brownfield"</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"alternatif pendanaan proyek infrastruktur"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"struktur proyek KPBU jangka panjang"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"praktik public private partnership internasional"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"https://www.djkn.kemenkeu.go.id/kpknl-batam/baca-artikel/17722/Skema-Pengelolaan-Dana-Hasil-Kerja-Sama-Terbatas-Untuk-Pembiayaan-Infrastruktur-Ketupi-Oleh-Badan-Layanan-Umum.html"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dan mekanisme KETUPI, peran BLU, cakupan 14 jenis infrastruktur, kebutuhan pembiayaan 2025-2029"</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"https://kpbu.kemenkeu.go.id/read/1190-1543/umum/kajian-opini-publik/setelah-financial-close-what-is-next"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"Isi pembahasan resmi pasca-financial close: pemantauan kinerja, perubahan kondisi lapangan, dan amandemen kontrak"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"https://blogs.worldbank.org/en/ppps/why-countries-should-implement-asset-recycling-and-where-get-good-guidance"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"Rasional internasional daur ulang modal, daya tarik aset brownfield, dan program Australia"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"https://peraturan.go.id/id/perpres-no-32-tahun-2020"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Perpres 32/2020 tentang Pembiayaan Infrastruktur Melalui Hak Pengelolaan Terbatas"</w:t>
      </w:r>
      <w:r>
        <w:br/>
      </w:r>
      <w:r>
        <w:rPr>
          <w:rStyle w:val="FunctionTok"/>
        </w:rPr>
        <w:t xml:space="preserve">brief_id</w:t>
      </w:r>
      <w:r>
        <w:rPr>
          <w:rStyle w:val="KeywordTok"/>
        </w:rPr>
        <w:t xml:space="preserve">:</w:t>
      </w:r>
      <w:r>
        <w:rPr>
          <w:rStyle w:val="AttributeTok"/>
        </w:rPr>
        <w:t xml:space="preserve"> </w:t>
      </w:r>
      <w:r>
        <w:rPr>
          <w:rStyle w:val="StringTok"/>
        </w:rPr>
        <w:t xml:space="preserve">"pembiayaan-infrastruktur-02"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1718</w:t>
      </w:r>
    </w:p>
    <w:p>
      <w:r>
        <w:pict>
          <v:rect style="width:0;height:1.5pt" o:hralign="center" o:hrstd="t" o:hr="t"/>
        </w:pict>
      </w:r>
    </w:p>
    <w:bookmarkEnd w:id="16"/>
    <w:bookmarkStart w:id="38" w:name="Xde382b5d6e3c82b7c43b4b64e97f3548587c1a7"/>
    <w:p>
      <w:pPr>
        <w:pStyle w:val="Heading1"/>
      </w:pPr>
      <w:r>
        <w:t xml:space="preserve">Pembiayaan Infrastruktur Babak Kedua: Mendaur Ulang Modal</w:t>
      </w:r>
    </w:p>
    <w:p>
      <w:pPr>
        <w:pStyle w:val="FirstParagraph"/>
      </w:pPr>
      <w:r>
        <w:t xml:space="preserve">Sebuah ruas tol sudah tiga tahun beroperasi. Lalu lintasnya stabil, tetapi pinjaman konstruksinya masih berjalan dengan marjin yang ditetapkan ketika proyek itu belum berwujud apa pun, dan ekuitas sponsor tetap terkunci di aset yang risikonya sudah jauh berkurang. Padahal kebutuhan pembiayaan infrastruktur nasional 2025–2029 diperkirakan sekitar USD 625 miliar, setara Rp 10.146–10.303 triliun, sementara anggaran pemerintah (APBN dan APBD) hanya mampu menutup sekitar 40% (DJKN Kementerian Keuangan, 2025). Pencarian</w:t>
      </w:r>
      <w:r>
        <w:t xml:space="preserve"> </w:t>
      </w:r>
      <w:hyperlink r:id="rId17">
        <w:r>
          <w:rPr>
            <w:rStyle w:val="Hyperlink"/>
          </w:rPr>
          <w:t xml:space="preserve">alternatif pendanaan proyek infrastruktur</w:t>
        </w:r>
      </w:hyperlink>
      <w:r>
        <w:t xml:space="preserve"> </w:t>
      </w:r>
      <w:r>
        <w:t xml:space="preserve">karena itu tidak boleh berhenti pada proyek baru. Tulisan ini membahas babak yang jarang ditulis: apa yang terjadi pada pembiayaan setelah aset beroperasi.</w:t>
      </w:r>
    </w:p>
    <w:p>
      <w:pPr>
        <w:pStyle w:val="BlockText"/>
      </w:pPr>
      <w:r>
        <w:rPr>
          <w:b/>
          <w:bCs/>
        </w:rPr>
        <w:t xml:space="preserve">Ringkasnya:</w:t>
      </w:r>
      <w:r>
        <w:t xml:space="preserve"> </w:t>
      </w:r>
      <w:r>
        <w:t xml:space="preserve">Daur ulang modal (</w:t>
      </w:r>
      <w:r>
        <w:rPr>
          <w:i/>
          <w:iCs/>
        </w:rPr>
        <w:t xml:space="preserve">capital recycling</w:t>
      </w:r>
      <w:r>
        <w:t xml:space="preserve">) dalam pembiayaan infrastruktur adalah praktik membebaskan modal yang terkunci pada aset yang sudah beroperasi untuk mendanai proyek baru. Setelah risiko konstruksi lewat dan arus kas terbukti, aset itu dapat di-</w:t>
      </w:r>
      <w:r>
        <w:rPr>
          <w:i/>
          <w:iCs/>
        </w:rPr>
        <w:t xml:space="preserve">refinancing</w:t>
      </w:r>
      <w:r>
        <w:t xml:space="preserve">, dijadikan dasar obligasi proyek, disekuritisasi lewat KIK-EBA, atau dikelola mitra lewat skema KETUPI (Perpres 32/2020 jo. 66/2024).</w:t>
      </w:r>
    </w:p>
    <w:bookmarkStart w:id="19" w:name="X614f95ad31f79601f370bb4d612771a982e326a"/>
    <w:p>
      <w:pPr>
        <w:pStyle w:val="Heading2"/>
      </w:pPr>
      <w:r>
        <w:t xml:space="preserve">Apa itu daur ulang modal dalam pembiayaan infrastruktur?</w:t>
      </w:r>
    </w:p>
    <w:p>
      <w:pPr>
        <w:pStyle w:val="FirstParagraph"/>
      </w:pPr>
      <w:r>
        <w:t xml:space="preserve">Daur ulang modal adalah memonetisasi aset infrastruktur yang sudah beroperasi, lalu memutar hasilnya untuk mendanai proyek baru. Logikanya bersandar pada satu perbedaan: aset</w:t>
      </w:r>
      <w:r>
        <w:t xml:space="preserve"> </w:t>
      </w:r>
      <w:r>
        <w:rPr>
          <w:i/>
          <w:iCs/>
        </w:rPr>
        <w:t xml:space="preserve">brownfield</w:t>
      </w:r>
      <w:r>
        <w:t xml:space="preserve"> </w:t>
      </w:r>
      <w:r>
        <w:t xml:space="preserve">sudah punya rekam jejak operasi, sementara proyek</w:t>
      </w:r>
      <w:r>
        <w:t xml:space="preserve"> </w:t>
      </w:r>
      <w:r>
        <w:rPr>
          <w:i/>
          <w:iCs/>
        </w:rPr>
        <w:t xml:space="preserve">greenfield</w:t>
      </w:r>
      <w:r>
        <w:t xml:space="preserve"> </w:t>
      </w:r>
      <w:r>
        <w:t xml:space="preserve">baru punya proyeksi. Rekam jejak itulah yang membuat modal bisa ditarik keluar dengan biaya lebih rendah.</w:t>
      </w:r>
    </w:p>
    <w:p>
      <w:pPr>
        <w:pStyle w:val="BodyText"/>
      </w:pPr>
      <w:r>
        <w:t xml:space="preserve">Aset dengan rekam jejak operasi (</w:t>
      </w:r>
      <w:r>
        <w:rPr>
          <w:i/>
          <w:iCs/>
        </w:rPr>
        <w:t xml:space="preserve">demonstrated history of operations</w:t>
      </w:r>
      <w:r>
        <w:t xml:space="preserve">) menarik bagi investor institusional yang mengejar imbal hasil berisiko lebih rendah dibanding proyek baru. Angka pembandingnya dicatat</w:t>
      </w:r>
      <w:r>
        <w:t xml:space="preserve"> </w:t>
      </w:r>
      <w:hyperlink r:id="rId18">
        <w:r>
          <w:rPr>
            <w:rStyle w:val="Hyperlink"/>
          </w:rPr>
          <w:t xml:space="preserve">World Bank PPP Knowledge Lab</w:t>
        </w:r>
      </w:hyperlink>
      <w:r>
        <w:t xml:space="preserve">: negara berkembang membutuhkan sekitar 2–8% PDB per tahun untuk infrastruktur baru hingga 2030, sementara beban layanan utang pemerintah naik dari 33% menjadi 42% penerimaan pajak sepanjang 2013–2021. Ruang fiskal menyempit persis ketika kebutuhan membesar.</w:t>
      </w:r>
    </w:p>
    <w:p>
      <w:pPr>
        <w:pStyle w:val="BodyText"/>
      </w:pPr>
      <w:r>
        <w:t xml:space="preserve">Praktik ini bukan temuan Indonesia. Australia menjalankan</w:t>
      </w:r>
      <w:r>
        <w:t xml:space="preserve"> </w:t>
      </w:r>
      <w:r>
        <w:rPr>
          <w:i/>
          <w:iCs/>
        </w:rPr>
        <w:t xml:space="preserve">Asset Recycling Initiative</w:t>
      </w:r>
      <w:r>
        <w:t xml:space="preserve"> </w:t>
      </w:r>
      <w:r>
        <w:t xml:space="preserve">sejak 2014, memberi insentif kepada negara bagian yang memonetisasi aset seperti pelabuhan dan jaringan transmisi lalu menanamkan kembali hasilnya. Beberapa analisis mencatat program itu tidak sepenuhnya mencapai target investasi awalnya.</w:t>
      </w:r>
    </w:p>
    <w:bookmarkEnd w:id="19"/>
    <w:bookmarkStart w:id="22" w:name="X237e245911089103b08f0193df62dfbb1c62b99"/>
    <w:p>
      <w:pPr>
        <w:pStyle w:val="Heading2"/>
      </w:pPr>
      <w:r>
        <w:t xml:space="preserve">Kenapa pembiayaan proyek tidak berhenti di</w:t>
      </w:r>
      <w:r>
        <w:t xml:space="preserve"> </w:t>
      </w:r>
      <w:r>
        <w:rPr>
          <w:i/>
          <w:iCs/>
        </w:rPr>
        <w:t xml:space="preserve">financial close</w:t>
      </w:r>
      <w:r>
        <w:t xml:space="preserve">?</w:t>
      </w:r>
    </w:p>
    <w:p>
      <w:pPr>
        <w:pStyle w:val="FirstParagraph"/>
      </w:pPr>
      <w:r>
        <w:t xml:space="preserve">Karena profil risiko proyek berubah total setelah konstruksi selesai. Pinjaman masa konstruksi dihargai untuk risiko pembangunan yang belum terbukti. Begitu aset beroperasi dan pendapatannya punya rekam jejak, risiko itu hilang, sementara harga dan tenor pembiayaannya belum tentu ikut menyesuaikan. Selisih itulah yang bisa dipanen.</w:t>
      </w:r>
    </w:p>
    <w:p>
      <w:pPr>
        <w:pStyle w:val="BodyText"/>
      </w:pPr>
      <w:r>
        <w:t xml:space="preserve">Seluruh logika penataan ulang bersandar pada</w:t>
      </w:r>
      <w:r>
        <w:t xml:space="preserve"> </w:t>
      </w:r>
      <w:hyperlink r:id="rId20">
        <w:r>
          <w:rPr>
            <w:rStyle w:val="Hyperlink"/>
          </w:rPr>
          <w:t xml:space="preserve">struktur proyek KPBU jangka panjang</w:t>
        </w:r>
      </w:hyperlink>
      <w:r>
        <w:t xml:space="preserve"> </w:t>
      </w:r>
      <w:r>
        <w:t xml:space="preserve">yang mengikat para pihak selama belasan hingga puluhan tahun. Dalam rentang selama itu, hampir mustahil struktur pembiayaan awal tetap optimal sampai akhir.</w:t>
      </w:r>
    </w:p>
    <w:p>
      <w:pPr>
        <w:pStyle w:val="BodyText"/>
      </w:pPr>
      <w:r>
        <w:t xml:space="preserve">Sisi pembiayaan ini belum banyak dibahas dalam literatur resmi. Halaman</w:t>
      </w:r>
      <w:r>
        <w:t xml:space="preserve"> </w:t>
      </w:r>
      <w:r>
        <w:t xml:space="preserve">“</w:t>
      </w:r>
      <w:hyperlink r:id="rId21">
        <w:r>
          <w:rPr>
            <w:rStyle w:val="Hyperlink"/>
          </w:rPr>
          <w:t xml:space="preserve">Setelah</w:t>
        </w:r>
        <w:r>
          <w:rPr>
            <w:rStyle w:val="Hyperlink"/>
          </w:rPr>
          <w:t xml:space="preserve"> </w:t>
        </w:r>
        <w:r>
          <w:rPr>
            <w:rStyle w:val="Hyperlink"/>
            <w:i/>
            <w:iCs/>
          </w:rPr>
          <w:t xml:space="preserve">Financial Close</w:t>
        </w:r>
        <w:r>
          <w:rPr>
            <w:rStyle w:val="Hyperlink"/>
          </w:rPr>
          <w:t xml:space="preserve">,</w:t>
        </w:r>
        <w:r>
          <w:rPr>
            <w:rStyle w:val="Hyperlink"/>
          </w:rPr>
          <w:t xml:space="preserve"> </w:t>
        </w:r>
        <w:r>
          <w:rPr>
            <w:rStyle w:val="Hyperlink"/>
            <w:i/>
            <w:iCs/>
          </w:rPr>
          <w:t xml:space="preserve">What’s Next</w:t>
        </w:r>
        <w:r>
          <w:rPr>
            <w:rStyle w:val="Hyperlink"/>
          </w:rPr>
          <w:t xml:space="preserve">?</w:t>
        </w:r>
      </w:hyperlink>
      <w:r>
        <w:t xml:space="preserve">”</w:t>
      </w:r>
      <w:r>
        <w:t xml:space="preserve"> </w:t>
      </w:r>
      <w:r>
        <w:t xml:space="preserve">di portal KPBU Kementerian Keuangan membahas pemantauan kinerja layanan Badan Usaha Pelaksana (BUP) oleh PJPK (</w:t>
      </w:r>
      <w:r>
        <w:rPr>
          <w:i/>
          <w:iCs/>
        </w:rPr>
        <w:t xml:space="preserve">Penanggung Jawab Proyek Kerja Sama</w:t>
      </w:r>
      <w:r>
        <w:t xml:space="preserve">), penanganan perubahan kondisi lapangan, serta penyesuaian tarif, pembagian risiko, dan amandemen kontrak. Tidak satu pun bagiannya menyinggung</w:t>
      </w:r>
      <w:r>
        <w:t xml:space="preserve"> </w:t>
      </w:r>
      <w:r>
        <w:rPr>
          <w:i/>
          <w:iCs/>
        </w:rPr>
        <w:t xml:space="preserve">refinancing</w:t>
      </w:r>
      <w:r>
        <w:t xml:space="preserve">, perpanjangan tenor, obligasi proyek, atau sekuritisasi. Fokusnya memang hubungan kontraktual PJPK dan BUP. Bagi sponsor dan pemberi dana, sisi pembiayaan justru yang paling mahal untuk diabaikan.</w:t>
      </w:r>
    </w:p>
    <w:bookmarkEnd w:id="22"/>
    <w:bookmarkStart w:id="23" w:name="X5679a03aba0913efd2af21fc59319c02e4b750b"/>
    <w:p>
      <w:pPr>
        <w:pStyle w:val="Heading2"/>
      </w:pPr>
      <w:r>
        <w:t xml:space="preserve">Apa yang berubah bagi pemberi dana ketika aset sudah beroperasi</w:t>
      </w:r>
    </w:p>
    <w:p>
      <w:pPr>
        <w:pStyle w:val="FirstParagraph"/>
      </w:pPr>
      <w:r>
        <w:t xml:space="preserve">Yang berubah bukan asetnya, melainkan jenis risiko yang dihadapi pemberi dana. Risiko penyelesaian konstruksi digantikan risiko permintaan, lalu menyusut lagi menjadi risiko operasional biasa. Setiap pergeseran membuka pintu bagi kelas pemodal berbeda, dengan toleransi risiko dan horizon dana yang berbeda pula.</w:t>
      </w:r>
    </w:p>
    <w:p>
      <w:pPr>
        <w:pStyle w:val="Compact"/>
        <w:numPr>
          <w:ilvl w:val="0"/>
          <w:numId w:val="1001"/>
        </w:numPr>
      </w:pPr>
      <w:r>
        <w:rPr>
          <w:b/>
          <w:bCs/>
        </w:rPr>
        <w:t xml:space="preserve">Prakonstruksi.</w:t>
      </w:r>
      <w:r>
        <w:t xml:space="preserve"> </w:t>
      </w:r>
      <w:r>
        <w:t xml:space="preserve">Risiko penyiapan: perizinan, lahan, persetujuan pemerintah. Pemodalnya sponsor ekuitas dan lembaga keuangan pembangunan.</w:t>
      </w:r>
    </w:p>
    <w:p>
      <w:pPr>
        <w:pStyle w:val="Compact"/>
        <w:numPr>
          <w:ilvl w:val="0"/>
          <w:numId w:val="1001"/>
        </w:numPr>
      </w:pPr>
      <w:r>
        <w:rPr>
          <w:b/>
          <w:bCs/>
        </w:rPr>
        <w:t xml:space="preserve">Konstruksi.</w:t>
      </w:r>
      <w:r>
        <w:t xml:space="preserve"> </w:t>
      </w:r>
      <w:r>
        <w:t xml:space="preserve">Risiko penyelesaian dan pembengkakan biaya. Bank sindikasi masuk dengan biaya dana lebih tinggi karena risiko belum terbukti.</w:t>
      </w:r>
    </w:p>
    <w:p>
      <w:pPr>
        <w:pStyle w:val="Compact"/>
        <w:numPr>
          <w:ilvl w:val="0"/>
          <w:numId w:val="1001"/>
        </w:numPr>
      </w:pPr>
      <w:r>
        <w:rPr>
          <w:b/>
          <w:bCs/>
        </w:rPr>
        <w:t xml:space="preserve">Operasi awal.</w:t>
      </w:r>
      <w:r>
        <w:t xml:space="preserve"> </w:t>
      </w:r>
      <w:r>
        <w:t xml:space="preserve">Risiko permintaan menjadi dominan. Di sinilah</w:t>
      </w:r>
      <w:r>
        <w:t xml:space="preserve"> </w:t>
      </w:r>
      <w:r>
        <w:rPr>
          <w:i/>
          <w:iCs/>
        </w:rPr>
        <w:t xml:space="preserve">refinancing</w:t>
      </w:r>
      <w:r>
        <w:t xml:space="preserve"> </w:t>
      </w:r>
      <w:r>
        <w:t xml:space="preserve">pertama biasanya mulai dibicarakan.</w:t>
      </w:r>
    </w:p>
    <w:p>
      <w:pPr>
        <w:pStyle w:val="Compact"/>
        <w:numPr>
          <w:ilvl w:val="0"/>
          <w:numId w:val="1001"/>
        </w:numPr>
      </w:pPr>
      <w:r>
        <w:rPr>
          <w:b/>
          <w:bCs/>
        </w:rPr>
        <w:t xml:space="preserve">Operasi matang.</w:t>
      </w:r>
      <w:r>
        <w:t xml:space="preserve"> </w:t>
      </w:r>
      <w:r>
        <w:t xml:space="preserve">Arus kas stabil bertahun-tahun. Investor institusional, pasar obligasi, KIK-EBA, dan mitra KETUPI baru masuk di sini.</w:t>
      </w:r>
    </w:p>
    <w:bookmarkEnd w:id="23"/>
    <w:bookmarkStart w:id="26" w:name="X1a42a0e5bd1d345cd50f688e6aacba796096d9b"/>
    <w:p>
      <w:pPr>
        <w:pStyle w:val="Heading2"/>
      </w:pPr>
      <w:r>
        <w:t xml:space="preserve">Empat jalur mengubah aset beroperasi menjadi dana proyek baru</w:t>
      </w:r>
    </w:p>
    <w:p>
      <w:pPr>
        <w:pStyle w:val="FirstParagraph"/>
      </w:pPr>
      <w:r>
        <w:t xml:space="preserve">Ada empat jalur bagi aset infrastruktur Indonesia yang sudah beroperasi:</w:t>
      </w:r>
      <w:r>
        <w:t xml:space="preserve"> </w:t>
      </w:r>
      <w:r>
        <w:rPr>
          <w:i/>
          <w:iCs/>
        </w:rPr>
        <w:t xml:space="preserve">refinancing</w:t>
      </w:r>
      <w:r>
        <w:t xml:space="preserve"> </w:t>
      </w:r>
      <w:r>
        <w:t xml:space="preserve">pinjaman konstruksi, penerbitan obligasi proyek, sekuritisasi arus kas lewat KIK-EBA, dan skema KETUPI atas aset milik negara. Keempatnya berbeda dalam prasyarat, kecepatan, dan yang paling menentukan, dalam rekam jejak nyatanya di Indonesia.</w:t>
      </w:r>
    </w:p>
    <w:p>
      <w:pPr>
        <w:pStyle w:val="Compact"/>
        <w:numPr>
          <w:ilvl w:val="0"/>
          <w:numId w:val="1002"/>
        </w:numPr>
      </w:pPr>
      <w:r>
        <w:rPr>
          <w:b/>
          <w:bCs/>
        </w:rPr>
        <w:t xml:space="preserve">Refinancing pinjaman konstruksi.</w:t>
      </w:r>
      <w:r>
        <w:t xml:space="preserve"> </w:t>
      </w:r>
      <w:r>
        <w:t xml:space="preserve">Mengganti pinjaman masa konstruksi dengan pembiayaan baru bertenor lebih panjang setelah arus kas terbukti. Tidak ada angka selisih marjin proyek Indonesia yang terverifikasi publik; yang dinegosiasikan profil risikonya, bukan sekadar kuponnya.</w:t>
      </w:r>
    </w:p>
    <w:p>
      <w:pPr>
        <w:pStyle w:val="Compact"/>
        <w:numPr>
          <w:ilvl w:val="0"/>
          <w:numId w:val="1002"/>
        </w:numPr>
      </w:pPr>
      <w:r>
        <w:rPr>
          <w:b/>
          <w:bCs/>
        </w:rPr>
        <w:t xml:space="preserve">Obligasi proyek (</w:t>
      </w:r>
      <w:r>
        <w:rPr>
          <w:b/>
          <w:bCs/>
          <w:i/>
          <w:iCs/>
        </w:rPr>
        <w:t xml:space="preserve">project bond</w:t>
      </w:r>
      <w:r>
        <w:rPr>
          <w:b/>
          <w:bCs/>
        </w:rPr>
        <w:t xml:space="preserve">).</w:t>
      </w:r>
      <w:r>
        <w:t xml:space="preserve"> </w:t>
      </w:r>
      <w:r>
        <w:t xml:space="preserve">Kupon dan pokok dibayar dari arus kas proyek. Rujukan Indonesia bersifat historis: Hutama Karya menerbitkan Rp 1 triliun berkupon 8,55% bertenor 10 tahun pada Desember 2016, lalu Rp 1,96 triliun berkupon 8,07% pada Mei 2017, keduanya disertai jaminan pemerintah.</w:t>
      </w:r>
    </w:p>
    <w:p>
      <w:pPr>
        <w:pStyle w:val="Compact"/>
        <w:numPr>
          <w:ilvl w:val="0"/>
          <w:numId w:val="1002"/>
        </w:numPr>
      </w:pPr>
      <w:r>
        <w:rPr>
          <w:b/>
          <w:bCs/>
        </w:rPr>
        <w:t xml:space="preserve">Sekuritisasi arus kas lewat KIK-EBA (</w:t>
      </w:r>
      <w:r>
        <w:rPr>
          <w:b/>
          <w:bCs/>
          <w:i/>
          <w:iCs/>
        </w:rPr>
        <w:t xml:space="preserve">Kontrak Investasi Kolektif Efek Beragun Aset</w:t>
      </w:r>
      <w:r>
        <w:rPr>
          <w:b/>
          <w:bCs/>
        </w:rPr>
        <w:t xml:space="preserve">).</w:t>
      </w:r>
      <w:r>
        <w:t xml:space="preserve"> </w:t>
      </w:r>
      <w:r>
        <w:t xml:space="preserve">Menjual hak atas pendapatan masa depan sebuah ruas, tunduk pada POJK Nomor 65/POJK.04/2017. Realisasinya: KIK-EBA Mandiri JSMR01 atas pendapatan Tol Jagorawi, Rp 2 triliun, berbasis proyeksi lima tahun, tercatat di Bursa Efek Indonesia pada 31 Agustus 2017.</w:t>
      </w:r>
    </w:p>
    <w:p>
      <w:pPr>
        <w:pStyle w:val="Compact"/>
        <w:numPr>
          <w:ilvl w:val="0"/>
          <w:numId w:val="1002"/>
        </w:numPr>
      </w:pPr>
      <w:r>
        <w:rPr>
          <w:b/>
          <w:bCs/>
        </w:rPr>
        <w:t xml:space="preserve">KETUPI (</w:t>
      </w:r>
      <w:r>
        <w:rPr>
          <w:b/>
          <w:bCs/>
          <w:i/>
          <w:iCs/>
        </w:rPr>
        <w:t xml:space="preserve">Kerja Sama Terbatas untuk Pembiayaan Infrastruktur</w:t>
      </w:r>
      <w:r>
        <w:rPr>
          <w:b/>
          <w:bCs/>
        </w:rPr>
        <w:t xml:space="preserve">) atau Hak Pengelolaan Terbatas (HPT).</w:t>
      </w:r>
      <w:r>
        <w:t xml:space="preserve"> </w:t>
      </w:r>
      <w:r>
        <w:t xml:space="preserve">Mitra terpilih mengelola aset milik negara yang sudah beroperasi dan membayar di muka; dananya dikelola Badan Layanan Umum (BLU) Kementerian Keuangan untuk infrastruktur baru. Skema ini adaptasi</w:t>
      </w:r>
      <w:r>
        <w:t xml:space="preserve"> </w:t>
      </w:r>
      <w:r>
        <w:rPr>
          <w:i/>
          <w:iCs/>
        </w:rPr>
        <w:t xml:space="preserve">Limited Concession Scheme</w:t>
      </w:r>
      <w:r>
        <w:t xml:space="preserve"> </w:t>
      </w:r>
      <w:r>
        <w:t xml:space="preserve">dalam</w:t>
      </w:r>
      <w:r>
        <w:t xml:space="preserve"> </w:t>
      </w:r>
      <w:hyperlink r:id="rId24">
        <w:r>
          <w:rPr>
            <w:rStyle w:val="Hyperlink"/>
          </w:rPr>
          <w:t xml:space="preserve">praktik public private partnership internasional</w:t>
        </w:r>
      </w:hyperlink>
      <w:r>
        <w:t xml:space="preserve">. Menurut artikel penjelas</w:t>
      </w:r>
      <w:r>
        <w:t xml:space="preserve"> </w:t>
      </w:r>
      <w:hyperlink r:id="rId25">
        <w:r>
          <w:rPr>
            <w:rStyle w:val="Hyperlink"/>
          </w:rPr>
          <w:t xml:space="preserve">DJKN Kementerian Keuangan</w:t>
        </w:r>
      </w:hyperlink>
      <w:r>
        <w:t xml:space="preserve"> </w:t>
      </w:r>
      <w:r>
        <w:t xml:space="preserve">(2025), Perpres 66/2024 memperluas cakupannya menjadi 14 jenis infrastruktur.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Jalur</w:t>
            </w:r>
          </w:p>
        </w:tc>
        <w:tc>
          <w:tcPr/>
          <w:p>
            <w:pPr>
              <w:pStyle w:val="Compact"/>
            </w:pPr>
            <w:r>
              <w:t xml:space="preserve">Prasyarat utama</w:t>
            </w:r>
          </w:p>
        </w:tc>
        <w:tc>
          <w:tcPr/>
          <w:p>
            <w:pPr>
              <w:pStyle w:val="Compact"/>
            </w:pPr>
            <w:r>
              <w:t xml:space="preserve">Rekam jejak Indonesia</w:t>
            </w:r>
          </w:p>
        </w:tc>
      </w:tr>
      <w:tr>
        <w:tc>
          <w:tcPr/>
          <w:p>
            <w:pPr>
              <w:pStyle w:val="Compact"/>
            </w:pPr>
            <w:r>
              <w:rPr>
                <w:i/>
                <w:iCs/>
              </w:rPr>
              <w:t xml:space="preserve">Refinancing</w:t>
            </w:r>
            <w:r>
              <w:t xml:space="preserve"> </w:t>
            </w:r>
            <w:r>
              <w:t xml:space="preserve">pinjaman</w:t>
            </w:r>
          </w:p>
        </w:tc>
        <w:tc>
          <w:tcPr/>
          <w:p>
            <w:pPr>
              <w:pStyle w:val="Compact"/>
            </w:pPr>
            <w:r>
              <w:t xml:space="preserve">Persetujuan kreditur eksisting; kinerja operasi mendekati asumsi studi kelayakan</w:t>
            </w:r>
          </w:p>
        </w:tc>
        <w:tc>
          <w:tcPr/>
          <w:p>
            <w:pPr>
              <w:pStyle w:val="Compact"/>
            </w:pPr>
            <w:r>
              <w:t xml:space="preserve">Tidak ditemukan contoh publik lebih baru dari 2020</w:t>
            </w:r>
          </w:p>
        </w:tc>
      </w:tr>
      <w:tr>
        <w:tc>
          <w:tcPr/>
          <w:p>
            <w:pPr>
              <w:pStyle w:val="Compact"/>
            </w:pPr>
            <w:r>
              <w:t xml:space="preserve">Obligasi proyek</w:t>
            </w:r>
          </w:p>
        </w:tc>
        <w:tc>
          <w:tcPr/>
          <w:p>
            <w:pPr>
              <w:pStyle w:val="Compact"/>
            </w:pPr>
            <w:r>
              <w:t xml:space="preserve">Rekam jejak pendapatan; kerap perlu penguatan kredit agar diserap pasar</w:t>
            </w:r>
          </w:p>
        </w:tc>
        <w:tc>
          <w:tcPr/>
          <w:p>
            <w:pPr>
              <w:pStyle w:val="Compact"/>
            </w:pPr>
            <w:r>
              <w:t xml:space="preserve">Hutama Karya, Tol Trans Sumatera, 2016–2017</w:t>
            </w:r>
          </w:p>
        </w:tc>
      </w:tr>
      <w:tr>
        <w:tc>
          <w:tcPr/>
          <w:p>
            <w:pPr>
              <w:pStyle w:val="Compact"/>
            </w:pPr>
            <w:r>
              <w:t xml:space="preserve">Sekuritisasi KIK-EBA</w:t>
            </w:r>
          </w:p>
        </w:tc>
        <w:tc>
          <w:tcPr/>
          <w:p>
            <w:pPr>
              <w:pStyle w:val="Compact"/>
            </w:pPr>
            <w:r>
              <w:t xml:space="preserve">Pendapatan yang dapat diproyeksikan; POJK 65/POJK.04/2017</w:t>
            </w:r>
          </w:p>
        </w:tc>
        <w:tc>
          <w:tcPr/>
          <w:p>
            <w:pPr>
              <w:pStyle w:val="Compact"/>
            </w:pPr>
            <w:r>
              <w:t xml:space="preserve">Satu kasus tuntas terdokumentasi: JSMR01 (2017)</w:t>
            </w:r>
          </w:p>
        </w:tc>
      </w:tr>
      <w:tr>
        <w:tc>
          <w:tcPr/>
          <w:p>
            <w:pPr>
              <w:pStyle w:val="Compact"/>
            </w:pPr>
            <w:r>
              <w:t xml:space="preserve">KETUPI / HPT</w:t>
            </w:r>
          </w:p>
        </w:tc>
        <w:tc>
          <w:tcPr/>
          <w:p>
            <w:pPr>
              <w:pStyle w:val="Compact"/>
            </w:pPr>
            <w:r>
              <w:t xml:space="preserve">Aset berstatus Barang Milik Negara; seleksi mitra lewat tender</w:t>
            </w:r>
          </w:p>
        </w:tc>
        <w:tc>
          <w:tcPr/>
          <w:p>
            <w:pPr>
              <w:pStyle w:val="Compact"/>
            </w:pPr>
            <w:r>
              <w:t xml:space="preserve">Payung hukum lengkap sejak 2020; belum ada transaksi terdokumentasi publik per Juli 2026</w:t>
            </w:r>
          </w:p>
        </w:tc>
      </w:tr>
    </w:tbl>
    <w:bookmarkEnd w:id="26"/>
    <w:bookmarkStart w:id="29" w:name="X2d70f424954fdd40a2087c2b050f5edc05ab119"/>
    <w:p>
      <w:pPr>
        <w:pStyle w:val="Heading2"/>
      </w:pPr>
      <w:r>
        <w:t xml:space="preserve">Tersedia secara hukum, belum tentu terbukti di lapangan</w:t>
      </w:r>
    </w:p>
    <w:p>
      <w:pPr>
        <w:pStyle w:val="FirstParagraph"/>
      </w:pPr>
      <w:r>
        <w:t xml:space="preserve">Kerangka hukum daur ulang modal di Indonesia sudah rapi, praktiknya belum. KETUPI berdiri di atas beberapa lapis aturan yang berlaku, tetapi publikasi Kementerian Keuangan termutakhir pada Juli 2026 belum memuat satu pun contoh transaksi. Jarak antara aturan dan praktik inilah yang perlu diperhitungkan sponsor sejak awal.</w:t>
      </w:r>
    </w:p>
    <w:p>
      <w:pPr>
        <w:pStyle w:val="BodyText"/>
      </w:pPr>
      <w:hyperlink r:id="rId27">
        <w:r>
          <w:rPr>
            <w:rStyle w:val="Hyperlink"/>
          </w:rPr>
          <w:t xml:space="preserve">Perpres 32/2020 tentang Pembiayaan Infrastruktur Melalui Hak Pengelolaan Terbatas</w:t>
        </w:r>
      </w:hyperlink>
      <w:r>
        <w:t xml:space="preserve"> </w:t>
      </w:r>
      <w:r>
        <w:t xml:space="preserve">ditetapkan 14 Februari 2020 dan berstatus berlaku, lalu diubah Perpres 66/2024. PP 28/2020 menyusul pada 8 Juni 2020, dan PMK 115/PMK.06/2020 tentang Pemanfaatan Barang Milik Negara pada 31 Agustus 2020, yang mengatur enam bentuk pemanfaatan BMN termasuk hak pengelolaan terbatas. Aturan pelaksananya, KMK 361/KM.6/2024, tercatat di basis data peraturan DJKN.</w:t>
      </w:r>
    </w:p>
    <w:p>
      <w:pPr>
        <w:pStyle w:val="BodyText"/>
      </w:pPr>
      <w:r>
        <w:t xml:space="preserve">Kerangkanya hidup. Namun artikel DJKN termutakhir yang ditemukan, bertanggal 27 Juli 2026, tidak menyebut satu aset pun yang sudah bertransaksi lewat skema ini.</w:t>
      </w:r>
    </w:p>
    <w:p>
      <w:pPr>
        <w:pStyle w:val="BodyText"/>
      </w:pPr>
      <w:r>
        <w:t xml:space="preserve">Kekeliruan lain adalah membaca rencana sebagai realisasi. Rencana sekuritisasi ruas JORR senilai Rp 2,5 triliun diberitakan pada 2020 tanpa konfirmasi independen bahwa transaksinya rampung. Begitu pula pengumuman divestasi sebagian kepemilikan pada tiga ruas Tol Trans-Jawa ke sebuah kendaraan investasi pada Maret 2018, yang nilai transaksinya tidak pernah diungkap publik. Keduanya ilustrasi mekanisme, bukan bukti pasar yang matang.</w:t>
      </w:r>
    </w:p>
    <w:bookmarkStart w:id="28" w:name="X4c5caf72a537f070f9a801bd5f68e35a3d17b86"/>
    <w:p>
      <w:pPr>
        <w:pStyle w:val="Heading3"/>
      </w:pPr>
      <w:r>
        <w:t xml:space="preserve">Kapan mendaur ulang modal justru merugikan</w:t>
      </w:r>
    </w:p>
    <w:p>
      <w:pPr>
        <w:pStyle w:val="FirstParagraph"/>
      </w:pPr>
      <w:r>
        <w:t xml:space="preserve">Menjual pendapatan masa depan berarti menyerahkan arus kas ternyaman. Kupon dan pokok tetap harus dibayar meski permintaan meleset, persis seperti yang dicatat portal KPBU Kementerian Keuangan mengenai lalu lintas jalan tol pada masa pandemi. Penataan ulang juga tidak bisa diputuskan sepihak: semua jalur menuntut persetujuan kreditur eksisting, kerap memicu amandemen perjanjian kerja sama, dan memakan biaya serta waktu.</w:t>
      </w:r>
    </w:p>
    <w:p>
      <w:pPr>
        <w:pStyle w:val="BodyText"/>
      </w:pPr>
      <w:r>
        <w:t xml:space="preserve">Satu hal tidak ikut berubah. Risiko sisi pemerintah dalam kontrak kerja sama tetap ada sepanjang masa kerja sama, termasuk tahap operasi, dan PT PII menerbitkan penjaminan pemerintah pada tiga tahap proyek: pra-konstruksi, konstruksi, dan operasi. Yang tidak ditanggungnya adalah risiko permintaan dan risiko komersial badan usaha, dan justru itulah yang ditimbang investor saat membeli obligasi proyek atau unit KIK-EBA.</w:t>
      </w:r>
    </w:p>
    <w:bookmarkEnd w:id="28"/>
    <w:bookmarkEnd w:id="29"/>
    <w:bookmarkStart w:id="36" w:name="faq-pertanyaan-yang-sering-diajukan"/>
    <w:p>
      <w:pPr>
        <w:pStyle w:val="Heading2"/>
      </w:pPr>
      <w:r>
        <w:t xml:space="preserve">FAQ (Pertanyaan yang Sering Diajukan)</w:t>
      </w:r>
    </w:p>
    <w:bookmarkStart w:id="30" w:name="Xcb61c040474f8405d4fd1995459034382b88e18"/>
    <w:p>
      <w:pPr>
        <w:pStyle w:val="Heading3"/>
      </w:pPr>
      <w:r>
        <w:t xml:space="preserve">Apa itu daur ulang modal dalam pembiayaan infrastruktur?</w:t>
      </w:r>
    </w:p>
    <w:p>
      <w:pPr>
        <w:pStyle w:val="FirstParagraph"/>
      </w:pPr>
      <w:r>
        <w:t xml:space="preserve">Daur ulang modal adalah membebaskan dana yang terkunci di aset infrastruktur yang sudah beroperasi untuk membiayai proyek baru, karena risiko konstruksi sudah lewat dan arus kasnya punya rekam jejak. Contohnya KIK-EBA Mandiri JSMR01 yang menyekuritisasi pendapatan Tol Jagorawi senilai Rp 2 triliun, tercatat di Bursa Efek Indonesia pada 31 Agustus 2017.</w:t>
      </w:r>
    </w:p>
    <w:bookmarkEnd w:id="30"/>
    <w:bookmarkStart w:id="31" w:name="Xe39d6dc27d4eaeabd1ea241b2e8180079b4792d"/>
    <w:p>
      <w:pPr>
        <w:pStyle w:val="Heading3"/>
      </w:pPr>
      <w:r>
        <w:t xml:space="preserve">Apakah proyek KPBU boleh melakukan refinancing setelah financial close?</w:t>
      </w:r>
    </w:p>
    <w:p>
      <w:pPr>
        <w:pStyle w:val="FirstParagraph"/>
      </w:pPr>
      <w:r>
        <w:t xml:space="preserve">Pada prinsipnya boleh, sepanjang memperoleh persetujuan kreditur dan PJPK serta mengikuti klausul amandemen dalam perjanjian kerja sama. Portal KPBU Kementerian Keuangan menegaskan kontrak KPBU dapat memuat penyesuaian tarif, pembagian risiko, dan amandemen setelah</w:t>
      </w:r>
      <w:r>
        <w:t xml:space="preserve"> </w:t>
      </w:r>
      <w:r>
        <w:rPr>
          <w:i/>
          <w:iCs/>
        </w:rPr>
        <w:t xml:space="preserve">financial close</w:t>
      </w:r>
      <w:r>
        <w:t xml:space="preserve">, meski belum merinci</w:t>
      </w:r>
      <w:r>
        <w:t xml:space="preserve"> </w:t>
      </w:r>
      <w:r>
        <w:rPr>
          <w:i/>
          <w:iCs/>
        </w:rPr>
        <w:t xml:space="preserve">refinancing</w:t>
      </w:r>
      <w:r>
        <w:t xml:space="preserve"> </w:t>
      </w:r>
      <w:r>
        <w:t xml:space="preserve">sebagai salah satu skenarionya.</w:t>
      </w:r>
    </w:p>
    <w:bookmarkEnd w:id="31"/>
    <w:bookmarkStart w:id="32" w:name="Xbf212eb97d5e7af1f51973b965ad4f981ec4985"/>
    <w:p>
      <w:pPr>
        <w:pStyle w:val="Heading3"/>
      </w:pPr>
      <w:r>
        <w:t xml:space="preserve">Apa itu KETUPI dan apa bedanya dengan KPBU?</w:t>
      </w:r>
    </w:p>
    <w:p>
      <w:pPr>
        <w:pStyle w:val="FirstParagraph"/>
      </w:pPr>
      <w:r>
        <w:t xml:space="preserve">KETUPI (Kerja Sama Terbatas untuk Pembiayaan Infrastruktur) memberi mitra hak mengelola aset negara yang sudah beroperasi dengan membayar di muka; dananya dikelola Badan Layanan Umum Kementerian Keuangan untuk infrastruktur baru. KPBU membangun aset baru sejak awal. Dasar hukum KETUPI lengkap sejak 2020, tetapi hingga Juli 2026 belum ada contoh transaksi yang terdokumentasi publik.</w:t>
      </w:r>
    </w:p>
    <w:bookmarkEnd w:id="32"/>
    <w:bookmarkStart w:id="33" w:name="apa-itu-sekuritisasi-aset-infrastruktur"/>
    <w:p>
      <w:pPr>
        <w:pStyle w:val="Heading3"/>
      </w:pPr>
      <w:r>
        <w:t xml:space="preserve">Apa itu sekuritisasi aset infrastruktur?</w:t>
      </w:r>
    </w:p>
    <w:p>
      <w:pPr>
        <w:pStyle w:val="FirstParagraph"/>
      </w:pPr>
      <w:r>
        <w:t xml:space="preserve">Sekuritisasi mengubah pendapatan masa depan sebuah aset menjadi surat berharga yang dijual ke investor hari ini, di Indonesia lewat KIK-EBA yang diatur POJK Nomor 65/POJK.04/2017. Contoh paling terdokumentasi adalah KIK-EBA Mandiri JSMR01 atas pendapatan Tol Jagorawi, Rp 2 triliun, berbasis proyeksi lima tahun, tercatat 31 Agustus 2017.</w:t>
      </w:r>
    </w:p>
    <w:bookmarkEnd w:id="33"/>
    <w:bookmarkStart w:id="34" w:name="X256f2d04df7bbb940640d2b82e5eadaab8dce7a"/>
    <w:p>
      <w:pPr>
        <w:pStyle w:val="Heading3"/>
      </w:pPr>
      <w:r>
        <w:t xml:space="preserve">Berapa tenor obligasi proyek infrastruktur di Indonesia?</w:t>
      </w:r>
    </w:p>
    <w:p>
      <w:pPr>
        <w:pStyle w:val="FirstParagraph"/>
      </w:pPr>
      <w:r>
        <w:t xml:space="preserve">Rujukan yang tersedia menunjuk tenor 10 tahun. Obligasi proyek Hutama Karya untuk Tol Trans Sumatera terbit dua kali: Rp 1 triliun berkupon 8,55% pada Desember 2016 dan Rp 1,96 triliun berkupon 8,07% pada Mei 2017, keduanya bertenor 10 tahun. Penerbitan yang lebih baru belum ditemukan.</w:t>
      </w:r>
    </w:p>
    <w:bookmarkEnd w:id="34"/>
    <w:bookmarkStart w:id="35" w:name="X062b427d3640b712502caeef0f09f4084a15dde"/>
    <w:p>
      <w:pPr>
        <w:pStyle w:val="Heading3"/>
      </w:pPr>
      <w:r>
        <w:t xml:space="preserve">Siapa yang membiayai proyek KPBU, dan apa bedanya dengan penjamin infrastruktur?</w:t>
      </w:r>
    </w:p>
    <w:p>
      <w:pPr>
        <w:pStyle w:val="FirstParagraph"/>
      </w:pPr>
      <w:r>
        <w:t xml:space="preserve">Dana proyek KPBU datang dari ekuitas sponsor, bank, lembaga pembiayaan infrastruktur seperti PT SMI dan PT IIF, pasar obligasi, serta lembaga keuangan multilateral. Badan Usaha Penjaminan Infrastruktur (BUPI) tidak menyalurkan dana; perannya menerbitkan penjaminan pemerintah atas risiko yang menjadi tanggung jawab PJPK, sehingga kelayakan kredit proyek naik.</w:t>
      </w:r>
    </w:p>
    <w:bookmarkEnd w:id="35"/>
    <w:bookmarkEnd w:id="36"/>
    <w:bookmarkStart w:id="37" w:name="kesimpulan"/>
    <w:p>
      <w:pPr>
        <w:pStyle w:val="Heading2"/>
      </w:pPr>
      <w:r>
        <w:t xml:space="preserve">Kesimpulan</w:t>
      </w:r>
    </w:p>
    <w:p>
      <w:pPr>
        <w:pStyle w:val="FirstParagraph"/>
      </w:pPr>
      <w:r>
        <w:t xml:space="preserve">Ruas tol di awal tulisan ini punya empat pintu keluar di atas kertas. Dua punya jejak transaksi terdokumentasi, keduanya pada 2016–2017. Untuk</w:t>
      </w:r>
      <w:r>
        <w:t xml:space="preserve"> </w:t>
      </w:r>
      <w:r>
        <w:rPr>
          <w:i/>
          <w:iCs/>
        </w:rPr>
        <w:t xml:space="preserve">refinancing</w:t>
      </w:r>
      <w:r>
        <w:t xml:space="preserve"> </w:t>
      </w:r>
      <w:r>
        <w:t xml:space="preserve">tidak ditemukan contoh publik yang lebih baru dari 2020, dan untuk KETUPI belum ditemukan bukti publik sama sekali. Itu bukan alasan mengabaikannya, melainkan alasan menyiapkan aset dan kontraknya sejak awal agar layak ditata ulang: dokumen rapi, klausul amandemen jelas, alokasi risiko yang tidak kabur ketika pemodalnya berganti. Penjaminan yang diterbitkan PT PII selaku Badan Usaha Penjaminan Infrastruktur di bawah Kementerian Keuangan melekat pada risiko sisi pemerintah sepanjang masa kerja sama, termasuk setelah aset beroperasi; per publikasi resmi Juni 2026, penjaminannya mencakup 61 proyek dengan nilai penjaminan Rp 113 triliun. Percakapan paling produktif biasanya dimulai jauh sebelum aset beroperasi.</w:t>
      </w:r>
    </w:p>
    <w:p>
      <w:pPr>
        <w:pStyle w:val="BodyText"/>
      </w:pPr>
      <w:r>
        <w:t xml:space="preserve">Cara kerja Penjaminan Pemerintah dalam pembiayaan infrastruktur skema KPBU, termasuk pada tahap operasi, diuraikan di ptpii.co.id.</w:t>
      </w:r>
    </w:p>
    <w:bookmarkEnd w:id="37"/>
    <w:bookmarkEnd w:id="3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blogs.worldbank.org/en/ppps/why-countries-should-implement-asset-recycling-and-where-get-good-guidance" TargetMode="External" /><Relationship Type="http://schemas.openxmlformats.org/officeDocument/2006/relationships/hyperlink" Id="rId21" Target="https://kpbu.kemenkeu.go.id/read/1190-1543/umum/kajian-opini-publik/setelah-financial-close-what-is-next" TargetMode="External" /><Relationship Type="http://schemas.openxmlformats.org/officeDocument/2006/relationships/hyperlink" Id="rId27" Target="https://peraturan.go.id/id/perpres-no-32-tahun-2020" TargetMode="External" /><Relationship Type="http://schemas.openxmlformats.org/officeDocument/2006/relationships/hyperlink" Id="rId25" Target="https://www.djkn.kemenkeu.go.id/kpknl-batam/baca-artikel/17722/Skema-Pengelolaan-Dana-Hasil-Kerja-Sama-Terbatas-Untuk-Pembiayaan-Infrastruktur-Ketupi-Oleh-Badan-Layanan-Umum.html"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4"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8" Target="https://blogs.worldbank.org/en/ppps/why-countries-should-implement-asset-recycling-and-where-get-good-guidance" TargetMode="External" /><Relationship Type="http://schemas.openxmlformats.org/officeDocument/2006/relationships/hyperlink" Id="rId21" Target="https://kpbu.kemenkeu.go.id/read/1190-1543/umum/kajian-opini-publik/setelah-financial-close-what-is-next" TargetMode="External" /><Relationship Type="http://schemas.openxmlformats.org/officeDocument/2006/relationships/hyperlink" Id="rId27" Target="https://peraturan.go.id/id/perpres-no-32-tahun-2020" TargetMode="External" /><Relationship Type="http://schemas.openxmlformats.org/officeDocument/2006/relationships/hyperlink" Id="rId25" Target="https://www.djkn.kemenkeu.go.id/kpknl-batam/baca-artikel/17722/Skema-Pengelolaan-Dana-Hasil-Kerja-Sama-Terbatas-Untuk-Pembiayaan-Infrastruktur-Ketupi-Oleh-Badan-Layanan-Umum.html"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4"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2026-09-22T01:19:49Z</dcterms:created>
  <dcterms:modified xsi:type="dcterms:W3CDTF">2026-09-22T01:19:49Z</dcterms:modified>
</cp:coreProperties>
</file>

<file path=docProps/custom.xml><?xml version="1.0" encoding="utf-8"?>
<Properties xmlns="http://schemas.openxmlformats.org/officeDocument/2006/custom-properties" xmlns:vt="http://schemas.openxmlformats.org/officeDocument/2006/docPropsVTypes"/>
</file>