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Kenapa Modal Menumpuk di Jawa"</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Kenapa Modal Menumpuk di Jawa"</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menumpuk di Jawa karena aturan keputusan pemodal, bukan geografi. Data BPS 2023, bukti proyek luar Jawa yang tetap terdanai."</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"pembiayaan-infrastruktur-kenapa-modal-menumpuk-di-jawa"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"ketimpangan pembiayaan infrastruktur"</w:t>
      </w:r>
      <w:r>
        <w:br/>
      </w:r>
      <w:r>
        <w:rPr>
          <w:rStyle w:val="AttributeTok"/>
        </w:rPr>
        <w:t xml:space="preserve">  </w:t>
      </w:r>
      <w:r>
        <w:rPr>
          <w:rStyle w:val="KeywordTok"/>
        </w:rPr>
        <w:t xml:space="preserve">-</w:t>
      </w:r>
      <w:r>
        <w:rPr>
          <w:rStyle w:val="AttributeTok"/>
        </w:rPr>
        <w:t xml:space="preserve"> </w:t>
      </w:r>
      <w:r>
        <w:rPr>
          <w:rStyle w:val="StringTok"/>
        </w:rPr>
        <w:t xml:space="preserve">"distribusi investasi antarwilayah"</w:t>
      </w:r>
      <w:r>
        <w:br/>
      </w:r>
      <w:r>
        <w:rPr>
          <w:rStyle w:val="AttributeTok"/>
        </w:rPr>
        <w:t xml:space="preserve">  </w:t>
      </w:r>
      <w:r>
        <w:rPr>
          <w:rStyle w:val="KeywordTok"/>
        </w:rPr>
        <w:t xml:space="preserve">-</w:t>
      </w:r>
      <w:r>
        <w:rPr>
          <w:rStyle w:val="AttributeTok"/>
        </w:rPr>
        <w:t xml:space="preserve"> </w:t>
      </w:r>
      <w:r>
        <w:rPr>
          <w:rStyle w:val="StringTok"/>
        </w:rPr>
        <w:t xml:space="preserve">"Pembentukan Modal Tetap Bruto (PMTB)"</w:t>
      </w:r>
      <w:r>
        <w:br/>
      </w:r>
      <w:r>
        <w:rPr>
          <w:rStyle w:val="AttributeTok"/>
        </w:rPr>
        <w:t xml:space="preserve">  </w:t>
      </w:r>
      <w:r>
        <w:rPr>
          <w:rStyle w:val="KeywordTok"/>
        </w:rPr>
        <w:t xml:space="preserve">-</w:t>
      </w:r>
      <w:r>
        <w:rPr>
          <w:rStyle w:val="AttributeTok"/>
        </w:rPr>
        <w:t xml:space="preserve"> </w:t>
      </w:r>
      <w:r>
        <w:rPr>
          <w:rStyle w:val="StringTok"/>
        </w:rPr>
        <w:t xml:space="preserve">"kelayakan finansial proyek"</w:t>
      </w:r>
      <w:r>
        <w:br/>
      </w:r>
      <w:r>
        <w:rPr>
          <w:rStyle w:val="AttributeTok"/>
        </w:rPr>
        <w:t xml:space="preserve">  </w:t>
      </w:r>
      <w:r>
        <w:rPr>
          <w:rStyle w:val="KeywordTok"/>
        </w:rPr>
        <w:t xml:space="preserve">-</w:t>
      </w:r>
      <w:r>
        <w:rPr>
          <w:rStyle w:val="AttributeTok"/>
        </w:rPr>
        <w:t xml:space="preserve"> </w:t>
      </w:r>
      <w:r>
        <w:rPr>
          <w:rStyle w:val="StringTok"/>
        </w:rPr>
        <w:t xml:space="preserve">"penyiapan proyek"</w:t>
      </w:r>
      <w:r>
        <w:br/>
      </w:r>
      <w:r>
        <w:rPr>
          <w:rStyle w:val="AttributeTok"/>
        </w:rPr>
        <w:t xml:space="preserve">  </w:t>
      </w:r>
      <w:r>
        <w:rPr>
          <w:rStyle w:val="KeywordTok"/>
        </w:rPr>
        <w:t xml:space="preserve">-</w:t>
      </w:r>
      <w:r>
        <w:rPr>
          <w:rStyle w:val="AttributeTok"/>
        </w:rPr>
        <w:t xml:space="preserve"> </w:t>
      </w:r>
      <w:r>
        <w:rPr>
          <w:rStyle w:val="StringTok"/>
        </w:rPr>
        <w:t xml:space="preserve">"proyek luar Jawa"</w:t>
      </w:r>
      <w:r>
        <w:br/>
      </w:r>
      <w:r>
        <w:rPr>
          <w:rStyle w:val="AttributeTok"/>
        </w:rPr>
        <w:t xml:space="preserve">  </w:t>
      </w:r>
      <w:r>
        <w:rPr>
          <w:rStyle w:val="KeywordTok"/>
        </w:rPr>
        <w:t xml:space="preserve">-</w:t>
      </w:r>
      <w:r>
        <w:rPr>
          <w:rStyle w:val="AttributeTok"/>
        </w:rPr>
        <w:t xml:space="preserve"> </w:t>
      </w:r>
      <w:r>
        <w:rPr>
          <w:rStyle w:val="StringTok"/>
        </w:rPr>
        <w:t xml:space="preserve">"bankability proyek daerah"</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"Dukungan Kelayakan (Viability Gap Fund)"</w:t>
      </w:r>
      <w:r>
        <w:br/>
      </w:r>
      <w:r>
        <w:rPr>
          <w:rStyle w:val="AttributeTok"/>
        </w:rPr>
        <w:t xml:space="preserve">  </w:t>
      </w:r>
      <w:r>
        <w:rPr>
          <w:rStyle w:val="KeywordTok"/>
        </w:rPr>
        <w:t xml:space="preserve">-</w:t>
      </w:r>
      <w:r>
        <w:rPr>
          <w:rStyle w:val="AttributeTok"/>
        </w:rPr>
        <w:t xml:space="preserve"> </w:t>
      </w:r>
      <w:r>
        <w:rPr>
          <w:rStyle w:val="StringTok"/>
        </w:rPr>
        <w:t xml:space="preserve">"risiko permintaan"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"pendanaan infrastruktur yang lebih merata"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"penyediaan infrastruktur lewat skema kerja sama"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"pengalaman public private partnership lintas negara"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"https://www.antaranews.com/berita/3670113/bps-pulau-jawa-kontributor-utama-pdb-ri-sebesar-5727-persen"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"Kontribusi Pulau Jawa 57,27% terhadap PDB nasional pada triwulan II-2023 (BPS, dimuat 7 Agustus 2023) — cakupan PDB, bukan porsi investasi"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"https://kpbu.kemenkeu.go.id/proyek/detail/21-palapa-ring-paket-timur"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"Palapa Ring Paket Timur: PJPK, struktur DBFOMT, tanggal perjanjian penjaminan 29 September 2016, cakupan wilayah timur Indonesia"</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1779</w:t>
      </w:r>
    </w:p>
    <w:p>
      <w:r>
        <w:pict>
          <v:rect style="width:0;height:1.5pt" o:hralign="center" o:hrstd="t" o:hr="t"/>
        </w:pict>
      </w:r>
    </w:p>
    <w:bookmarkEnd w:id="16"/>
    <w:bookmarkStart w:id="35" w:name="X60b984eb5f9814b87e2227381dc339902aab747"/>
    <w:p>
      <w:pPr>
        <w:pStyle w:val="Heading1"/>
      </w:pPr>
      <w:r>
        <w:t xml:space="preserve">Pembiayaan Infrastruktur: Kenapa Modal Menumpuk di Jawa</w:t>
      </w:r>
    </w:p>
    <w:p>
      <w:pPr>
        <w:pStyle w:val="FirstParagraph"/>
      </w:pPr>
      <w:r>
        <w:t xml:space="preserve">Dua proposal mendarat di meja alokasi yang sama pada pekan yang sama. Keduanya proyek jalan, keduanya punya PJPK (</w:t>
      </w:r>
      <w:r>
        <w:rPr>
          <w:i/>
          <w:iCs/>
        </w:rPr>
        <w:t xml:space="preserve">Penanggung Jawab Proyek Kerja Sama</w:t>
      </w:r>
      <w:r>
        <w:t xml:space="preserve">) yang serius, keduanya butuh tenor panjang. Satu berada di koridor Jawa dengan lalu lintas harian yang sudah terbaca; satu lagi di luar pulau, dengan proyeksi permintaan yang masih berupa asumsi. Hanya satu yang lolos komite. Di titik inilah percakapan tentang pembiayaan infrastruktur dan</w:t>
      </w:r>
      <w:r>
        <w:t xml:space="preserve"> </w:t>
      </w:r>
      <w:hyperlink r:id="rId17">
        <w:r>
          <w:rPr>
            <w:rStyle w:val="Hyperlink"/>
          </w:rPr>
          <w:t xml:space="preserve">pendanaan infrastruktur yang lebih merata</w:t>
        </w:r>
      </w:hyperlink>
      <w:r>
        <w:t xml:space="preserve"> </w:t>
      </w:r>
      <w:r>
        <w:t xml:space="preserve">sering berhenti pada retorika, padahal yang bekerja di ruang itu adalah aritmetika. Tulisan ini membaca peta tersebut dari kursi pemodal, lalu menguji bukti tandingannya: proyek di luar Jawa yang nyatanya terdanai.</w:t>
      </w:r>
    </w:p>
    <w:p>
      <w:pPr>
        <w:pStyle w:val="BlockText"/>
      </w:pPr>
      <w:r>
        <w:rPr>
          <w:b/>
          <w:bCs/>
        </w:rPr>
        <w:t xml:space="preserve">Ringkasnya:</w:t>
      </w:r>
      <w:r>
        <w:t xml:space="preserve"> </w:t>
      </w:r>
      <w:r>
        <w:t xml:space="preserve">Ketimpangan pembiayaan infrastruktur antarwilayah adalah kesenjangan penyerapan modal pembangunan antarprovinsi atau antarpulau. Pulau Jawa menyumbang 57,27% Produk Domestik Bruto (PDB) nasional pada triwulan II-2023 (Badan Pusat Statistik/BPS), dan itu ukuran kontribusi ekonomi, bukan porsi investasi. Belanja pemerintah dapat diarahkan lewat kebijakan anggaran; modal komersial mengikuti kelayakan finansial proyek, bukan batas administratif wilayah.</w:t>
      </w:r>
    </w:p>
    <w:p>
      <w:pPr>
        <w:pStyle w:val="FirstParagraph"/>
      </w:pPr>
      <w:r>
        <w:t xml:space="preserve">Skala taruhannya besar. Kebutuhan pembiayaan infrastruktur nasional periode 2025–2029 ditaksir sekitar USD 625 miliar, setara Rp 10.146–10.303 triliun, dengan kemampuan APBN dan APBD digabung menutup sekitar 40% (DJKN, Kementerian Keuangan, 2025). Sisanya dicari dari sumber lain, dan pencarian itu punya aturan seleksinya sendiri.</w:t>
      </w:r>
    </w:p>
    <w:bookmarkStart w:id="19" w:name="X0abadce9037dff3bcba085c7cc812032826325d"/>
    <w:p>
      <w:pPr>
        <w:pStyle w:val="Heading2"/>
      </w:pPr>
      <w:r>
        <w:t xml:space="preserve">Apa itu ketimpangan pembiayaan infrastruktur antarwilayah?</w:t>
      </w:r>
    </w:p>
    <w:p>
      <w:pPr>
        <w:pStyle w:val="FirstParagraph"/>
      </w:pPr>
      <w:r>
        <w:t xml:space="preserve">Ketimpangan pembiayaan infrastruktur antarwilayah adalah perbedaan penyerapan modal pembangunan antarprovinsi atau antarpulau. Ia terbentuk dari dua aliran yang berbeda sifat: belanja pemerintah, yang arahnya ditentukan kebijakan anggaran, dan modal komersial, yang arahnya ditentukan kelayakan finansial proyek. Keduanya kerap dibahas seolah satu hal, padahal merespons sinyal yang sama sekali berbeda.</w:t>
      </w:r>
    </w:p>
    <w:p>
      <w:pPr>
        <w:pStyle w:val="BodyText"/>
      </w:pPr>
      <w:r>
        <w:t xml:space="preserve">Perbedaan itu menentukan instrumen apa yang masuk akal dipakai. Belanja pemerintah dapat ditempatkan di wilayah berpenduduk tipis karena ukuran keberhasilannya adalah akses layanan. Modal komersial tidak punya kemewahan itu: ia dibayar kembali dari arus kas, dan arus kas menuntut pembayar yang jelas.</w:t>
      </w:r>
    </w:p>
    <w:p>
      <w:pPr>
        <w:pStyle w:val="BodyText"/>
      </w:pPr>
      <w:r>
        <w:t xml:space="preserve">Di antara keduanya berdiri</w:t>
      </w:r>
      <w:r>
        <w:t xml:space="preserve"> </w:t>
      </w:r>
      <w:hyperlink r:id="rId18">
        <w:r>
          <w:rPr>
            <w:rStyle w:val="Hyperlink"/>
          </w:rPr>
          <w:t xml:space="preserve">penyediaan infrastruktur lewat skema kerja sama</w:t>
        </w:r>
      </w:hyperlink>
      <w:r>
        <w:t xml:space="preserve">, yang payung hukumnya adalah Perpres 38/2015. Skema ini meminjam disiplin komersial untuk proyek publik: badan usaha membangun dan mengoperasikan, pemerintah menetapkan standar layanan, dan pengembalian investasi berasal dari tarif pengguna atau dari pembayaran pemerintah atas ketersediaan layanan. Karena itu pertanyaan</w:t>
      </w:r>
      <w:r>
        <w:t xml:space="preserve"> </w:t>
      </w:r>
      <w:r>
        <w:t xml:space="preserve">“ke mana modal pergi”</w:t>
      </w:r>
      <w:r>
        <w:t xml:space="preserve"> </w:t>
      </w:r>
      <w:r>
        <w:t xml:space="preserve">tidak bisa dijawab hanya dengan peta kebutuhan.</w:t>
      </w:r>
    </w:p>
    <w:bookmarkEnd w:id="19"/>
    <w:bookmarkStart w:id="22" w:name="X4db608086ebfeff3187db2727b46129eddd51ea"/>
    <w:p>
      <w:pPr>
        <w:pStyle w:val="Heading2"/>
      </w:pPr>
      <w:r>
        <w:t xml:space="preserve">Mengapa pemodal swasta lebih memilih proyek di Jawa?</w:t>
      </w:r>
    </w:p>
    <w:p>
      <w:pPr>
        <w:pStyle w:val="FirstParagraph"/>
      </w:pPr>
      <w:r>
        <w:t xml:space="preserve">Pemodal tidak memilih Jawa sebagai lokasi. Mereka memilih kombinasi variabel yang kebetulan lebih sering lengkap di koridor padat: permintaan yang sudah terbukti, pihak pembayar yang kuat, rantai pasok terdekat, dan preseden transaksi sejenis. Pulau Jawa menyumbang 57,27% PDB nasional pada triwulan II-2023 (BPS), indikasi kasar dari kepadatan aktivitas ekonomi tersebut.</w:t>
      </w:r>
    </w:p>
    <w:p>
      <w:pPr>
        <w:pStyle w:val="BodyText"/>
      </w:pPr>
      <w:r>
        <w:t xml:space="preserve">Angka itu harus dibaca persis sesuai cakupannya. Pada triwulan II-2023, kontribusi terhadap PDB nasional tercatat Jawa 57,27%, Sumatra 21,94%, Kalimantan 8,32%, Sulawesi 7,13%, Bali–Nusa Tenggara 2,77%, dan Maluku–Papua 2,57% (</w:t>
      </w:r>
      <w:hyperlink r:id="rId20">
        <w:r>
          <w:rPr>
            <w:rStyle w:val="Hyperlink"/>
          </w:rPr>
          <w:t xml:space="preserve">BPS, dikutip ANTARA, 7 Agustus 2023</w:t>
        </w:r>
      </w:hyperlink>
      <w:r>
        <w:t xml:space="preserve">). Itu ukuran aktivitas ekonomi, bukan porsi investasi.</w:t>
      </w:r>
    </w:p>
    <w:p>
      <w:pPr>
        <w:pStyle w:val="BodyText"/>
      </w:pPr>
      <w:r>
        <w:t xml:space="preserve">Porsi investasi punya metrik tersendiri, yaitu Pembentukan Modal Tetap Bruto (PMTB). Angka PMTB regional yang beredar luas untuk tahun 2023 bersumber dari pemberitaan sekunder dan belum tertelusuri ke tabel resmi BPS, sehingga tidak dipakai sebagai tulang punggung tulisan ini. Mencampur dua metrik itu adalah kekeliruan yang murah dilakukan dan mahal akibatnya.</w:t>
      </w:r>
    </w:p>
    <w:p>
      <w:pPr>
        <w:pStyle w:val="BodyText"/>
      </w:pPr>
      <w:r>
        <w:t xml:space="preserve">Dari kepadatan itulah turun empat variabel yang benar-benar dinilai meja alokasi:</w:t>
      </w:r>
    </w:p>
    <w:p>
      <w:pPr>
        <w:pStyle w:val="Compact"/>
        <w:numPr>
          <w:ilvl w:val="0"/>
          <w:numId w:val="1001"/>
        </w:numPr>
      </w:pPr>
      <w:r>
        <w:rPr>
          <w:b/>
          <w:bCs/>
        </w:rPr>
        <w:t xml:space="preserve">Kepadatan permintaan dan daya beli.</w:t>
      </w:r>
      <w:r>
        <w:t xml:space="preserve"> </w:t>
      </w:r>
      <w:r>
        <w:t xml:space="preserve">Menentukan proyeksi arus kas komersial sekaligus besar-kecilnya risiko permintaan; publikasi Kementerian Koordinator Bidang Perekonomian mencatat kecenderungan investor swasta berkonsentrasi di wilayah berpenduduk padat dan berdaya beli tinggi.</w:t>
      </w:r>
    </w:p>
    <w:p>
      <w:pPr>
        <w:pStyle w:val="Compact"/>
        <w:numPr>
          <w:ilvl w:val="0"/>
          <w:numId w:val="1001"/>
        </w:numPr>
      </w:pPr>
      <w:r>
        <w:rPr>
          <w:b/>
          <w:bCs/>
        </w:rPr>
        <w:t xml:space="preserve">Kekuatan dan keandalan pihak pembayar (</w:t>
      </w:r>
      <w:r>
        <w:rPr>
          <w:b/>
          <w:bCs/>
          <w:i/>
          <w:iCs/>
        </w:rPr>
        <w:t xml:space="preserve">offtaker</w:t>
      </w:r>
      <w:r>
        <w:rPr>
          <w:b/>
          <w:bCs/>
        </w:rPr>
        <w:t xml:space="preserve">).</w:t>
      </w:r>
      <w:r>
        <w:t xml:space="preserve"> </w:t>
      </w:r>
      <w:r>
        <w:t xml:space="preserve">Kreditur menilai kepastian pembayaran selama masa konsesi, bukan nilai aset fisik proyek.</w:t>
      </w:r>
    </w:p>
    <w:p>
      <w:pPr>
        <w:pStyle w:val="Compact"/>
        <w:numPr>
          <w:ilvl w:val="0"/>
          <w:numId w:val="1001"/>
        </w:numPr>
      </w:pPr>
      <w:r>
        <w:rPr>
          <w:b/>
          <w:bCs/>
        </w:rPr>
        <w:t xml:space="preserve">Kesiapan lahan dan mutu dokumen penyiapan.</w:t>
      </w:r>
      <w:r>
        <w:t xml:space="preserve"> </w:t>
      </w:r>
      <w:r>
        <w:t xml:space="preserve">Prasyarat menuju</w:t>
      </w:r>
      <w:r>
        <w:t xml:space="preserve"> </w:t>
      </w:r>
      <w:r>
        <w:rPr>
          <w:i/>
          <w:iCs/>
        </w:rPr>
        <w:t xml:space="preserve">financial close</w:t>
      </w:r>
      <w:r>
        <w:t xml:space="preserve">, yaitu tercapainya pendanaan definitif; keterlambatan lahan menunda konstruksi dan menaikkan biaya.</w:t>
      </w:r>
    </w:p>
    <w:p>
      <w:pPr>
        <w:pStyle w:val="Compact"/>
        <w:numPr>
          <w:ilvl w:val="0"/>
          <w:numId w:val="1001"/>
        </w:numPr>
      </w:pPr>
      <w:r>
        <w:rPr>
          <w:b/>
          <w:bCs/>
        </w:rPr>
        <w:t xml:space="preserve">Skala proyek dan preseden pasar.</w:t>
      </w:r>
      <w:r>
        <w:t xml:space="preserve"> </w:t>
      </w:r>
      <w:r>
        <w:t xml:space="preserve">Proyek kecil menanggung biaya transaksi yang hampir sama besar dengan proyek besar, sehingga selera</w:t>
      </w:r>
      <w:r>
        <w:t xml:space="preserve"> </w:t>
      </w:r>
      <w:r>
        <w:rPr>
          <w:i/>
          <w:iCs/>
        </w:rPr>
        <w:t xml:space="preserve">arranger</w:t>
      </w:r>
      <w:r>
        <w:t xml:space="preserve"> </w:t>
      </w:r>
      <w:r>
        <w:t xml:space="preserve">dan</w:t>
      </w:r>
      <w:r>
        <w:t xml:space="preserve"> </w:t>
      </w:r>
      <w:r>
        <w:rPr>
          <w:i/>
          <w:iCs/>
        </w:rPr>
        <w:t xml:space="preserve">lender</w:t>
      </w:r>
      <w:r>
        <w:t xml:space="preserve"> </w:t>
      </w:r>
      <w:r>
        <w:t xml:space="preserve">menipis.</w:t>
      </w:r>
    </w:p>
    <w:p>
      <w:pPr>
        <w:pStyle w:val="FirstParagraph"/>
      </w:pPr>
      <w:r>
        <w:t xml:space="preserve">Aturan seleksi ini bukan kekhasan Indonesia. Ia melekat pada logika pembiayaan proyek di mana pun skema kerja sama dipakai, dan konteksnya terbaca pada</w:t>
      </w:r>
      <w:r>
        <w:t xml:space="preserve"> </w:t>
      </w:r>
      <w:hyperlink r:id="rId21">
        <w:r>
          <w:rPr>
            <w:rStyle w:val="Hyperlink"/>
          </w:rPr>
          <w:t xml:space="preserve">pengalaman public private partnership lintas negara</w:t>
        </w:r>
      </w:hyperlink>
      <w:r>
        <w:t xml:space="preserve">.</w:t>
      </w:r>
    </w:p>
    <w:bookmarkEnd w:id="22"/>
    <w:bookmarkStart w:id="24" w:name="Xd277a7e41d587d2a887441e23cf06faeaed6319"/>
    <w:p>
      <w:pPr>
        <w:pStyle w:val="Heading2"/>
      </w:pPr>
      <w:r>
        <w:t xml:space="preserve">Apa yang membuat proyek di luar Jawa tetap bisa dibiayai</w:t>
      </w:r>
    </w:p>
    <w:p>
      <w:pPr>
        <w:pStyle w:val="FirstParagraph"/>
      </w:pPr>
      <w:r>
        <w:t xml:space="preserve">Proyek di luar Jawa terdanai ketika struktur transaksinya mengganti permintaan pengguna yang tipis dengan pembayar yang kredibel. Polanya berulang: PJPK pemerintah sebagai pihak pembayar, pengembalian investasi lewat Availability Payment (pembayaran atas ketersediaan layanan), dan penjaminan pemerintah atas risiko sisi pemerintah dalam kontrak.</w:t>
      </w:r>
    </w:p>
    <w:p>
      <w:pPr>
        <w:pStyle w:val="BodyText"/>
      </w:pPr>
      <w:r>
        <w:t xml:space="preserve">Ini bukan hipotesis. Empat proyek berikut sudah menuntaskan bagian yang paling lama dinegosiasikan: perjanjian kerja samanya diteken, dengan tanggal yang bisa ditelusuri publik.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Proyek</w:t>
            </w:r>
          </w:p>
        </w:tc>
        <w:tc>
          <w:tcPr/>
          <w:p>
            <w:pPr>
              <w:pStyle w:val="Compact"/>
            </w:pPr>
            <w:r>
              <w:t xml:space="preserve">Wilayah</w:t>
            </w:r>
          </w:p>
        </w:tc>
        <w:tc>
          <w:tcPr/>
          <w:p>
            <w:pPr>
              <w:pStyle w:val="Compact"/>
            </w:pPr>
            <w:r>
              <w:t xml:space="preserve">Sektor</w:t>
            </w:r>
          </w:p>
        </w:tc>
        <w:tc>
          <w:tcPr/>
          <w:p>
            <w:pPr>
              <w:pStyle w:val="Compact"/>
            </w:pPr>
            <w:r>
              <w:t xml:space="preserve">Yang membuatnya terdanai</w:t>
            </w:r>
          </w:p>
        </w:tc>
      </w:tr>
      <w:tr>
        <w:tc>
          <w:tcPr/>
          <w:p>
            <w:pPr>
              <w:pStyle w:val="Compact"/>
            </w:pPr>
            <w:r>
              <w:t xml:space="preserve">Palapa Ring Paket Timur</w:t>
            </w:r>
          </w:p>
        </w:tc>
        <w:tc>
          <w:tcPr/>
          <w:p>
            <w:pPr>
              <w:pStyle w:val="Compact"/>
            </w:pPr>
            <w:r>
              <w:t xml:space="preserve">Papua, Papua Barat, Maluku, NTT</w:t>
            </w:r>
          </w:p>
        </w:tc>
        <w:tc>
          <w:tcPr/>
          <w:p>
            <w:pPr>
              <w:pStyle w:val="Compact"/>
            </w:pPr>
            <w:r>
              <w:t xml:space="preserve">Telekomunikasi</w:t>
            </w:r>
          </w:p>
        </w:tc>
        <w:tc>
          <w:tcPr/>
          <w:p>
            <w:pPr>
              <w:pStyle w:val="Compact"/>
            </w:pPr>
            <w:r>
              <w:t xml:space="preserve">PJPK pemerintah pusat sebagai pihak pembayar, disertai penjaminan pemerintah; perjanjian penjaminan 29 September 2016, beroperasi komersial 29 Agustus 2019</w:t>
            </w:r>
          </w:p>
        </w:tc>
      </w:tr>
      <w:tr>
        <w:tc>
          <w:tcPr/>
          <w:p>
            <w:pPr>
              <w:pStyle w:val="Compact"/>
            </w:pPr>
            <w:r>
              <w:t xml:space="preserve">Jalan Trans Papua ruas Jayapura–Wamena (segmen Mamberamo–Elelim)</w:t>
            </w:r>
          </w:p>
        </w:tc>
        <w:tc>
          <w:tcPr/>
          <w:p>
            <w:pPr>
              <w:pStyle w:val="Compact"/>
            </w:pPr>
            <w:r>
              <w:t xml:space="preserve">Papua Pegunungan</w:t>
            </w:r>
          </w:p>
        </w:tc>
        <w:tc>
          <w:tcPr/>
          <w:p>
            <w:pPr>
              <w:pStyle w:val="Compact"/>
            </w:pPr>
            <w:r>
              <w:t xml:space="preserve">Jalan dan jembatan</w:t>
            </w:r>
          </w:p>
        </w:tc>
        <w:tc>
          <w:tcPr/>
          <w:p>
            <w:pPr>
              <w:pStyle w:val="Compact"/>
            </w:pPr>
            <w:r>
              <w:t xml:space="preserve">Availability Payment menggantikan pendapatan tarif pengguna; perjanjian diteken 3 Juli 2024, nilai investasi Rp 3,33 triliun</w:t>
            </w:r>
          </w:p>
        </w:tc>
      </w:tr>
      <w:tr>
        <w:tc>
          <w:tcPr/>
          <w:p>
            <w:pPr>
              <w:pStyle w:val="Compact"/>
            </w:pPr>
            <w:r>
              <w:t xml:space="preserve">Flyover Panorama 1 (Sitinjau Lauik)</w:t>
            </w:r>
          </w:p>
        </w:tc>
        <w:tc>
          <w:tcPr/>
          <w:p>
            <w:pPr>
              <w:pStyle w:val="Compact"/>
            </w:pPr>
            <w:r>
              <w:t xml:space="preserve">Sumatera Barat, koridor Padang–Solok</w:t>
            </w:r>
          </w:p>
        </w:tc>
        <w:tc>
          <w:tcPr/>
          <w:p>
            <w:pPr>
              <w:pStyle w:val="Compact"/>
            </w:pPr>
            <w:r>
              <w:t xml:space="preserve">Jalan</w:t>
            </w:r>
          </w:p>
        </w:tc>
        <w:tc>
          <w:tcPr/>
          <w:p>
            <w:pPr>
              <w:pStyle w:val="Compact"/>
            </w:pPr>
            <w:r>
              <w:t xml:space="preserve">Availability Payment untuk ruas non-tol bermedan ekstrem; kontrak 21 Maret 2025, masa kerja sama 12,5 tahun</w:t>
            </w:r>
          </w:p>
        </w:tc>
      </w:tr>
      <w:tr>
        <w:tc>
          <w:tcPr/>
          <w:p>
            <w:pPr>
              <w:pStyle w:val="Compact"/>
            </w:pPr>
            <w:r>
              <w:t xml:space="preserve">KPBU Penerangan Jalan Umum Kabupaten Lombok Barat</w:t>
            </w:r>
          </w:p>
        </w:tc>
        <w:tc>
          <w:tcPr/>
          <w:p>
            <w:pPr>
              <w:pStyle w:val="Compact"/>
            </w:pPr>
            <w:r>
              <w:t xml:space="preserve">Nusa Tenggara Barat</w:t>
            </w:r>
          </w:p>
        </w:tc>
        <w:tc>
          <w:tcPr/>
          <w:p>
            <w:pPr>
              <w:pStyle w:val="Compact"/>
            </w:pPr>
            <w:r>
              <w:t xml:space="preserve">Penerangan jalan</w:t>
            </w:r>
          </w:p>
        </w:tc>
        <w:tc>
          <w:tcPr/>
          <w:p>
            <w:pPr>
              <w:pStyle w:val="Compact"/>
            </w:pPr>
            <w:r>
              <w:t xml:space="preserve">Pembayaran berbasis ketersediaan layanan disertai penjaminan pemerintah; perjanjian penjaminan dan regres 12 Oktober 2023</w:t>
            </w:r>
          </w:p>
        </w:tc>
      </w:tr>
    </w:tbl>
    <w:p>
      <w:pPr>
        <w:pStyle w:val="BodyText"/>
      </w:pPr>
      <w:r>
        <w:t xml:space="preserve">Struktur dan tanggal penjaminan Palapa Ring Paket Timur dapat ditelusuri di</w:t>
      </w:r>
      <w:r>
        <w:t xml:space="preserve"> </w:t>
      </w:r>
      <w:hyperlink r:id="rId23">
        <w:r>
          <w:rPr>
            <w:rStyle w:val="Hyperlink"/>
          </w:rPr>
          <w:t xml:space="preserve">portal Kantor Bersama KPBU, Kementerian Keuangan</w:t>
        </w:r>
      </w:hyperlink>
      <w:r>
        <w:t xml:space="preserve">. Keempat proyek tersebut berada dalam portofolio penjaminan PT PII yang berjalan, yang per publikasi resmi Juni 2026 mencakup 61 proyek dengan nilai investasi lebih dari Rp 732 triliun dan nilai penjaminan Rp 113 triliun. Yang membedakan mereka bukan koordinat, melainkan siapa yang berdiri di sisi pembayar.</w:t>
      </w:r>
    </w:p>
    <w:bookmarkEnd w:id="24"/>
    <w:bookmarkStart w:id="25" w:name="X056eaa7e39620f229aac9cae53cb63ea507b8d7"/>
    <w:p>
      <w:pPr>
        <w:pStyle w:val="Heading2"/>
      </w:pPr>
      <w:r>
        <w:t xml:space="preserve">Tiga hal yang lebih menentukan daripada lokasi</w:t>
      </w:r>
    </w:p>
    <w:p>
      <w:pPr>
        <w:pStyle w:val="FirstParagraph"/>
      </w:pPr>
      <w:r>
        <w:t xml:space="preserve">Lokasi jarang menjadi penyebab tunggal sebuah proyek gagal terdanai.</w:t>
      </w:r>
      <w:r>
        <w:t xml:space="preserve"> </w:t>
      </w:r>
      <w:r>
        <w:rPr>
          <w:i/>
          <w:iCs/>
        </w:rPr>
        <w:t xml:space="preserve">Bankability</w:t>
      </w:r>
      <w:r>
        <w:t xml:space="preserve"> </w:t>
      </w:r>
      <w:r>
        <w:t xml:space="preserve">(kelayakan proyek untuk dibiayai) di daerah lebih sering ditentukan tiga variabel lain: mutu dokumen penyiapan, kejelasan siapa yang membayar dan seberapa andal pembayar itu, serta kepastian kontraktual atas tindakan pemerintah selama masa kerja sama. Proyek di Jawa dengan penyiapan yang lemah pun bisa berhenti sebelum lelang.</w:t>
      </w:r>
    </w:p>
    <w:p>
      <w:pPr>
        <w:pStyle w:val="Compact"/>
        <w:numPr>
          <w:ilvl w:val="0"/>
          <w:numId w:val="1002"/>
        </w:numPr>
      </w:pPr>
      <w:r>
        <w:rPr>
          <w:b/>
          <w:bCs/>
        </w:rPr>
        <w:t xml:space="preserve">Mutu dokumen penyiapan.</w:t>
      </w:r>
      <w:r>
        <w:t xml:space="preserve"> </w:t>
      </w:r>
      <w:r>
        <w:t xml:space="preserve">Studi kelayakan, kajian permintaan, dan rancangan alokasi risiko yang rapi memangkas waktu uji tuntas pemberi pinjaman. Fasilitas penyiapan proyek diatur dalam PMK 68/2024, yang berlaku sejak 18 Oktober 2024.</w:t>
      </w:r>
    </w:p>
    <w:p>
      <w:pPr>
        <w:pStyle w:val="Compact"/>
        <w:numPr>
          <w:ilvl w:val="0"/>
          <w:numId w:val="1002"/>
        </w:numPr>
      </w:pPr>
      <w:r>
        <w:rPr>
          <w:b/>
          <w:bCs/>
        </w:rPr>
        <w:t xml:space="preserve">Kejelasan pihak pembayar.</w:t>
      </w:r>
      <w:r>
        <w:t xml:space="preserve"> </w:t>
      </w:r>
      <w:r>
        <w:t xml:space="preserve">Pertanyaan pertama komite kredit bukan</w:t>
      </w:r>
      <w:r>
        <w:t xml:space="preserve"> </w:t>
      </w:r>
      <w:r>
        <w:t xml:space="preserve">“di mana proyek ini berada”</w:t>
      </w:r>
      <w:r>
        <w:t xml:space="preserve">, melainkan</w:t>
      </w:r>
      <w:r>
        <w:t xml:space="preserve"> </w:t>
      </w:r>
      <w:r>
        <w:t xml:space="preserve">“dari mana uang pembayarannya berasal selama belasan tahun ke depan”</w:t>
      </w:r>
      <w:r>
        <w:t xml:space="preserve">.</w:t>
      </w:r>
    </w:p>
    <w:p>
      <w:pPr>
        <w:pStyle w:val="Compact"/>
        <w:numPr>
          <w:ilvl w:val="0"/>
          <w:numId w:val="1002"/>
        </w:numPr>
      </w:pPr>
      <w:r>
        <w:rPr>
          <w:b/>
          <w:bCs/>
        </w:rPr>
        <w:t xml:space="preserve">Kepastian kontraktual.</w:t>
      </w:r>
      <w:r>
        <w:t xml:space="preserve"> </w:t>
      </w:r>
      <w:r>
        <w:t xml:space="preserve">Siapa menanggung apa bila persetujuan tertunda atau kerja sama diakhiri lebih cepat harus tertulis di dalam kontrak, bukan disandarkan pada niat baik.</w:t>
      </w:r>
    </w:p>
    <w:p>
      <w:pPr>
        <w:pStyle w:val="FirstParagraph"/>
      </w:pPr>
      <w:r>
        <w:t xml:space="preserve">Ada pula jebakan pembacaan yang layak diwaspadai. Sektor yang terasa kedaerahan belum tentu berada di luar Pulau Jawa: PLTP Dieng 2 berada di Wonosobo dan Banjarnegara, Jawa Tengah; PLTP Patuha 2 di Ciwidey, Kabupaten Bandung, Jawa Barat; sementara SPAM Karian–Serpong terbentang dari Lebak sampai Tangerang Selatan, keduanya di Banten, ujung barat Pulau Jawa. Memetakan portofolio berdasarkan kesan sektor, bukan geografi administratif, mudah melahirkan kesimpulan yang keliru.</w:t>
      </w:r>
    </w:p>
    <w:bookmarkEnd w:id="25"/>
    <w:bookmarkStart w:id="26" w:name="Xb570497ae931b664d5928c9396584a50645c0d3"/>
    <w:p>
      <w:pPr>
        <w:pStyle w:val="Heading2"/>
      </w:pPr>
      <w:r>
        <w:t xml:space="preserve">Menyebar proyek tidak sama dengan menyebar pembiayaan</w:t>
      </w:r>
    </w:p>
    <w:p>
      <w:pPr>
        <w:pStyle w:val="FirstParagraph"/>
      </w:pPr>
      <w:r>
        <w:t xml:space="preserve">Memindahkan proyek komersial ke wilayah berpermintaan tipis tidak menghapus kekurangan arus kasnya. Ia memindahkan beban tersebut ke pihak lain: ke anggaran yang membayar Availability Payment, atau ke instrumen fiskal seperti Dukungan Kelayakan (</w:t>
      </w:r>
      <w:r>
        <w:rPr>
          <w:i/>
          <w:iCs/>
        </w:rPr>
        <w:t xml:space="preserve">Viability Gap Fund</w:t>
      </w:r>
      <w:r>
        <w:t xml:space="preserve">). Beban yang berpindah tetap beban, dan itu harus masuk hitungan sejak tahap penyiapan.</w:t>
      </w:r>
    </w:p>
    <w:p>
      <w:pPr>
        <w:pStyle w:val="BodyText"/>
      </w:pPr>
      <w:r>
        <w:t xml:space="preserve">Konsekuensinya tidak selalu nyaman diakui. Sebagian infrastruktur dasar lebih tepat dibiayai belanja pemerintah langsung ketimbang didorong masuk skema kerja sama komersial, misalnya jalan lingkungan di wilayah berpenduduk tipis atau layanan dasar dengan kapasitas bayar pengguna yang rendah. Memaksakannya hanya memindahkan pertanyaan yang sama ke dokumen yang lebih tebal.</w:t>
      </w:r>
    </w:p>
    <w:p>
      <w:pPr>
        <w:pStyle w:val="BodyText"/>
      </w:pPr>
      <w:r>
        <w:t xml:space="preserve">Pada sisi lain persamaan, pengembangan kawasan strategis seperti Kawasan Industri (KI), Kawasan Ekonomi Khusus (KEK), dan Daerah Pariwisata Prioritas (DPP) bekerja dengan cara berbeda: menebalkan permintaan di suatu wilayah, bukan menambal arus kas satu proyek. Ini pekerjaan jangka panjang, dan hasilnya terbaca pada proyeksi permintaan proyek-proyek berikutnya.</w:t>
      </w:r>
    </w:p>
    <w:p>
      <w:pPr>
        <w:pStyle w:val="BodyText"/>
      </w:pPr>
      <w:r>
        <w:t xml:space="preserve">Penjaminan pemerintah juga punya batas yang perlu dinyatakan terang. Ia menutup risiko yang menjadi tanggung jawab pemerintah dalam kontrak KPBU, dan lazimnya disertai hak regres kepada PJPK apabila klaim sampai dibayarkan. Ia bukan subsidi, tidak menutup risiko komersial badan usaha, dan tidak menciptakan permintaan yang sebelumnya tidak ada. Instrumen fiskal menggeser hitungan; ia tidak membatalkan aritmetika permintaan.</w:t>
      </w:r>
    </w:p>
    <w:bookmarkEnd w:id="26"/>
    <w:bookmarkStart w:id="33" w:name="faq-pertanyaan-yang-sering-diajukan"/>
    <w:p>
      <w:pPr>
        <w:pStyle w:val="Heading2"/>
      </w:pPr>
      <w:r>
        <w:t xml:space="preserve">FAQ (Pertanyaan yang Sering Diajukan)</w:t>
      </w:r>
    </w:p>
    <w:bookmarkStart w:id="27" w:name="X6eb48576859192de585f94afa1253a9ff1e0274"/>
    <w:p>
      <w:pPr>
        <w:pStyle w:val="Heading3"/>
      </w:pPr>
      <w:r>
        <w:t xml:space="preserve">Apa itu ketimpangan pembiayaan infrastruktur antarwilayah?</w:t>
      </w:r>
    </w:p>
    <w:p>
      <w:pPr>
        <w:pStyle w:val="FirstParagraph"/>
      </w:pPr>
      <w:r>
        <w:t xml:space="preserve">Kesenjangan penyerapan modal pembangunan antarprovinsi atau antarpulau. Belanja pemerintah bisa diarahkan lewat kebijakan anggaran, sementara modal komersial mengikuti kelayakan finansial proyek: kepadatan permintaan, kepastian pembayar, dan mutu penyiapan. Konsentrasi aktivitas ekonomi terbaca dari kontribusi Jawa sebesar 57,27% terhadap PDB nasional pada triwulan II-2023 (BPS).</w:t>
      </w:r>
    </w:p>
    <w:bookmarkEnd w:id="27"/>
    <w:bookmarkStart w:id="28" w:name="X2471b7681df23501aa542db3056b3e49c3d3afb"/>
    <w:p>
      <w:pPr>
        <w:pStyle w:val="Heading3"/>
      </w:pPr>
      <w:r>
        <w:t xml:space="preserve">Berapa besar porsi investasi nasional yang terserap di Jawa?</w:t>
      </w:r>
    </w:p>
    <w:p>
      <w:pPr>
        <w:pStyle w:val="FirstParagraph"/>
      </w:pPr>
      <w:r>
        <w:t xml:space="preserve">Angkanya perlu dibaca sesuai cakupan. Data BPS menunjukkan kontribusi Pulau Jawa terhadap PDB nasional sebesar 57,27% pada triwulan II-2023, dan itu ukuran aktivitas ekonomi, bukan porsi investasi. Porsi investasi diukur melalui Pembentukan Modal Tetap Bruto; angka regional yang beredar untuk 2023 berasal dari pemberitaan sekunder dan sebaiknya dikutip dengan hati-hati.</w:t>
      </w:r>
    </w:p>
    <w:bookmarkEnd w:id="28"/>
    <w:bookmarkStart w:id="29" w:name="Xe80718368c1fcf286d95cda7f814469346a8d39"/>
    <w:p>
      <w:pPr>
        <w:pStyle w:val="Heading3"/>
      </w:pPr>
      <w:r>
        <w:t xml:space="preserve">Mengapa perekonomian tidak sepenuhnya diserahkan kepada swasta?</w:t>
      </w:r>
    </w:p>
    <w:p>
      <w:pPr>
        <w:pStyle w:val="FirstParagraph"/>
      </w:pPr>
      <w:r>
        <w:t xml:space="preserve">Modal swasta mengalir ke proyek yang melewati ambang kelayakan finansial: permintaan cukup padat, pembayar kredibel, risiko terukur. Banyak infrastruktur dasar bermanfaat sosial besar namun belum menguntungkan secara komersial. Karena itu belanja pemerintah serta instrumen seperti Dukungan Kelayakan dan penjaminan pemerintah, yang aturan pelaksananya PMK 68/2024, tetap diperlukan untuk melengkapi peran swasta.</w:t>
      </w:r>
    </w:p>
    <w:bookmarkEnd w:id="29"/>
    <w:bookmarkStart w:id="30" w:name="X05dd6ad863be0f991ebbd8e05b5a44759893003"/>
    <w:p>
      <w:pPr>
        <w:pStyle w:val="Heading3"/>
      </w:pPr>
      <w:r>
        <w:t xml:space="preserve">Apakah proyek di luar Jawa bisa dibiayai skema kerja sama?</w:t>
      </w:r>
    </w:p>
    <w:p>
      <w:pPr>
        <w:pStyle w:val="FirstParagraph"/>
      </w:pPr>
      <w:r>
        <w:t xml:space="preserve">Bisa, dan sudah berjalan. Jalan Trans Papua ruas Jayapura–Wamena di Papua Pegunungan memperoleh perjanjian penjaminan pada 3 Juli 2024 dengan nilai investasi Rp 3,33 triliun, sementara Palapa Ring Paket Timur beroperasi komersial sejak 29 Agustus 2019. Syaratnya konsisten: pembayar yang kredibel dan struktur transaksi yang dirancang sejak awal.</w:t>
      </w:r>
    </w:p>
    <w:bookmarkEnd w:id="30"/>
    <w:bookmarkStart w:id="31" w:name="X86b18aae9f4e985a8942e7afbdb0bf7e32c1545"/>
    <w:p>
      <w:pPr>
        <w:pStyle w:val="Heading3"/>
      </w:pPr>
      <w:r>
        <w:t xml:space="preserve">Siapa yang membiayai proyek pada skema KPBU?</w:t>
      </w:r>
    </w:p>
    <w:p>
      <w:pPr>
        <w:pStyle w:val="FirstParagraph"/>
      </w:pPr>
      <w:r>
        <w:t xml:space="preserve">Badan usaha pelaksana yang dibentuk pemenang lelang, dikombinasikan dengan pinjaman perbankan atau lembaga keuangan, lazimnya berkomposisi utang 70–80% dan ekuitas 20–30% karena kreditur menilai proyeksi arus kas proyek (Kantor Bersama KPBU, Kementerian Keuangan, diakses 2026). Pemerintah tidak menyetor dana proyek; perannya berupa dukungan yang meningkatkan kelayakan kredit.</w:t>
      </w:r>
    </w:p>
    <w:bookmarkEnd w:id="31"/>
    <w:bookmarkStart w:id="32" w:name="Xf009be9cb8067a38f14079483bced5cae55adba"/>
    <w:p>
      <w:pPr>
        <w:pStyle w:val="Heading3"/>
      </w:pPr>
      <w:r>
        <w:t xml:space="preserve">Apakah penjaminan pemerintah membuat proyek otomatis layak secara finansial?</w:t>
      </w:r>
    </w:p>
    <w:p>
      <w:pPr>
        <w:pStyle w:val="FirstParagraph"/>
      </w:pPr>
      <w:r>
        <w:t xml:space="preserve">Tidak. Penjaminan menutup risiko yang menjadi tanggung jawab pemerintah dalam kontrak KPBU, misalnya keterlambatan perizinan atau terminasi akibat tindakan pemerintah, bukan risiko komersial badan usaha dan bukan subsidi tunai. Penjaminan juga tidak menciptakan permintaan. Proyek tetap harus memiliki dasar kelayakan finansial serta pembayar yang jelas, sesuai kerangka Perpres 38/2015.</w:t>
      </w:r>
    </w:p>
    <w:bookmarkEnd w:id="32"/>
    <w:bookmarkEnd w:id="33"/>
    <w:bookmarkStart w:id="34" w:name="kesimpulan"/>
    <w:p>
      <w:pPr>
        <w:pStyle w:val="Heading2"/>
      </w:pPr>
      <w:r>
        <w:t xml:space="preserve">Kesimpulan</w:t>
      </w:r>
    </w:p>
    <w:p>
      <w:pPr>
        <w:pStyle w:val="FirstParagraph"/>
      </w:pPr>
      <w:r>
        <w:t xml:space="preserve">Peta pembiayaan infrastruktur Indonesia lebih mudah dibaca ketika lokasi diperlakukan sebagai akibat, bukan sebab. Yang menggerakkan modal adalah kepastian pembayar, mutu penyiapan, dan kejelasan alokasi risiko. Koridor padat hanya lebih sering memiliki ketiganya sekaligus, dan proyek dari Sumatera Barat sampai Papua Pegunungan menunjukkan ketiganya bisa dirancang di wilayah mana pun. Penjaminan pemerintah bekerja di lapisan itu, bukan di lapisan lokasi. PT PII menerbitkannya untuk proyek KPBU sekaligus mendampingi penyiapan struktur transaksi, agar proyek yang layak benar-benar sampai ke</w:t>
      </w:r>
      <w:r>
        <w:t xml:space="preserve"> </w:t>
      </w:r>
      <w:r>
        <w:rPr>
          <w:i/>
          <w:iCs/>
        </w:rPr>
        <w:t xml:space="preserve">financial close</w:t>
      </w:r>
      <w:r>
        <w:t xml:space="preserve">. Percakapan yang paling berguna biasanya terjadi lebih awal, saat struktur pembayaran dan alokasi risiko masih bisa diubah.</w:t>
      </w:r>
    </w:p>
    <w:p>
      <w:pPr>
        <w:pStyle w:val="BodyText"/>
      </w:pPr>
      <w:r>
        <w:t xml:space="preserve">Sebaran wilayah proyek yang memperoleh penjaminan pemerintah dapat dilihat pada halaman informasi proyek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kpbu.kemenkeu.go.id/proyek/detail/21-palapa-ring-paket-timur" TargetMode="External" /><Relationship Type="http://schemas.openxmlformats.org/officeDocument/2006/relationships/hyperlink" Id="rId20" Target="https://www.antaranews.com/berita/3670113/bps-pulau-jawa-kontributor-utama-pdb-ri-sebesar-5727-persen" TargetMode="External" /><Relationship Type="http://schemas.openxmlformats.org/officeDocument/2006/relationships/hyperlink" Id="rId18"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3" Target="https://kpbu.kemenkeu.go.id/proyek/detail/21-palapa-ring-paket-timur" TargetMode="External" /><Relationship Type="http://schemas.openxmlformats.org/officeDocument/2006/relationships/hyperlink" Id="rId20" Target="https://www.antaranews.com/berita/3670113/bps-pulau-jawa-kontributor-utama-pdb-ri-sebesar-5727-persen" TargetMode="External" /><Relationship Type="http://schemas.openxmlformats.org/officeDocument/2006/relationships/hyperlink" Id="rId18"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2026-09-22T01:19:50Z</dcterms:created>
  <dcterms:modified xsi:type="dcterms:W3CDTF">2026-09-22T01:19:50Z</dcterms:modified>
</cp:coreProperties>
</file>

<file path=docProps/custom.xml><?xml version="1.0" encoding="utf-8"?>
<Properties xmlns="http://schemas.openxmlformats.org/officeDocument/2006/custom-properties" xmlns:vt="http://schemas.openxmlformats.org/officeDocument/2006/docPropsVTypes"/>
</file>