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Kreatif dari Nilai Tanah: Aturan Ada, Hasil Belum"</w:t>
      </w:r>
      <w:r>
        <w:br/>
      </w:r>
      <w:r>
        <w:rPr>
          <w:rStyle w:val="FunctionTok"/>
        </w:rPr>
        <w:t xml:space="preserve">meta_title</w:t>
      </w:r>
      <w:r>
        <w:rPr>
          <w:rStyle w:val="KeywordTok"/>
        </w:rPr>
        <w:t xml:space="preserve">:</w:t>
      </w:r>
      <w:r>
        <w:rPr>
          <w:rStyle w:val="AttributeTok"/>
        </w:rPr>
        <w:t xml:space="preserve"> </w:t>
      </w:r>
      <w:r>
        <w:rPr>
          <w:rStyle w:val="StringTok"/>
        </w:rPr>
        <w:t xml:space="preserve">"Pembiayaan Kreatif dari Nilai Tanah: Aturan Ada, Hasil Belum"</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kreatif lewat land value capture: Perpres 79/2024 dan P3NK berlaku, aturan pelaksana terbit Mei 2026, penerimaan daerah belum terdokumentasi."</w:t>
      </w:r>
      <w:r>
        <w:br/>
      </w:r>
      <w:r>
        <w:rPr>
          <w:rStyle w:val="FunctionTok"/>
        </w:rPr>
        <w:t xml:space="preserve">slug</w:t>
      </w:r>
      <w:r>
        <w:rPr>
          <w:rStyle w:val="KeywordTok"/>
        </w:rPr>
        <w:t xml:space="preserve">:</w:t>
      </w:r>
      <w:r>
        <w:rPr>
          <w:rStyle w:val="AttributeTok"/>
        </w:rPr>
        <w:t xml:space="preserve"> </w:t>
      </w:r>
      <w:r>
        <w:rPr>
          <w:rStyle w:val="StringTok"/>
        </w:rPr>
        <w:t xml:space="preserve">"pembiayaan-kreatif-nilai-tanah-p3nk"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Kreatif"</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"land value capture"</w:t>
      </w:r>
      <w:r>
        <w:br/>
      </w:r>
      <w:r>
        <w:rPr>
          <w:rStyle w:val="AttributeTok"/>
        </w:rPr>
        <w:t xml:space="preserve">  </w:t>
      </w:r>
      <w:r>
        <w:rPr>
          <w:rStyle w:val="KeywordTok"/>
        </w:rPr>
        <w:t xml:space="preserve">-</w:t>
      </w:r>
      <w:r>
        <w:rPr>
          <w:rStyle w:val="AttributeTok"/>
        </w:rPr>
        <w:t xml:space="preserve"> </w:t>
      </w:r>
      <w:r>
        <w:rPr>
          <w:rStyle w:val="StringTok"/>
        </w:rPr>
        <w:t xml:space="preserve">"P3NK"</w:t>
      </w:r>
      <w:r>
        <w:br/>
      </w:r>
      <w:r>
        <w:rPr>
          <w:rStyle w:val="AttributeTok"/>
        </w:rPr>
        <w:t xml:space="preserve">  </w:t>
      </w:r>
      <w:r>
        <w:rPr>
          <w:rStyle w:val="KeywordTok"/>
        </w:rPr>
        <w:t xml:space="preserve">-</w:t>
      </w:r>
      <w:r>
        <w:rPr>
          <w:rStyle w:val="AttributeTok"/>
        </w:rPr>
        <w:t xml:space="preserve"> </w:t>
      </w:r>
      <w:r>
        <w:rPr>
          <w:rStyle w:val="StringTok"/>
        </w:rPr>
        <w:t xml:space="preserve">"Perpres 79/2024"</w:t>
      </w:r>
      <w:r>
        <w:br/>
      </w:r>
      <w:r>
        <w:rPr>
          <w:rStyle w:val="AttributeTok"/>
        </w:rPr>
        <w:t xml:space="preserve">  </w:t>
      </w:r>
      <w:r>
        <w:rPr>
          <w:rStyle w:val="KeywordTok"/>
        </w:rPr>
        <w:t xml:space="preserve">-</w:t>
      </w:r>
      <w:r>
        <w:rPr>
          <w:rStyle w:val="AttributeTok"/>
        </w:rPr>
        <w:t xml:space="preserve"> </w:t>
      </w:r>
      <w:r>
        <w:rPr>
          <w:rStyle w:val="StringTok"/>
        </w:rPr>
        <w:t xml:space="preserve">"peningkatan nilai kawasan"</w:t>
      </w:r>
      <w:r>
        <w:br/>
      </w:r>
      <w:r>
        <w:rPr>
          <w:rStyle w:val="AttributeTok"/>
        </w:rPr>
        <w:t xml:space="preserve">  </w:t>
      </w:r>
      <w:r>
        <w:rPr>
          <w:rStyle w:val="KeywordTok"/>
        </w:rPr>
        <w:t xml:space="preserve">-</w:t>
      </w:r>
      <w:r>
        <w:rPr>
          <w:rStyle w:val="AttributeTok"/>
        </w:rPr>
        <w:t xml:space="preserve"> </w:t>
      </w:r>
      <w:r>
        <w:rPr>
          <w:rStyle w:val="StringTok"/>
        </w:rPr>
        <w:t xml:space="preserve">"pembiayaan infrastruktur daerah"</w:t>
      </w:r>
      <w:r>
        <w:br/>
      </w:r>
      <w:r>
        <w:rPr>
          <w:rStyle w:val="AttributeTok"/>
        </w:rPr>
        <w:t xml:space="preserve">  </w:t>
      </w:r>
      <w:r>
        <w:rPr>
          <w:rStyle w:val="KeywordTok"/>
        </w:rPr>
        <w:t xml:space="preserve">-</w:t>
      </w:r>
      <w:r>
        <w:rPr>
          <w:rStyle w:val="AttributeTok"/>
        </w:rPr>
        <w:t xml:space="preserve"> </w:t>
      </w:r>
      <w:r>
        <w:rPr>
          <w:rStyle w:val="StringTok"/>
        </w:rPr>
        <w:t xml:space="preserve">"Penerima Manfaat"</w:t>
      </w:r>
      <w:r>
        <w:br/>
      </w:r>
      <w:r>
        <w:rPr>
          <w:rStyle w:val="AttributeTok"/>
        </w:rPr>
        <w:t xml:space="preserve">  </w:t>
      </w:r>
      <w:r>
        <w:rPr>
          <w:rStyle w:val="KeywordTok"/>
        </w:rPr>
        <w:t xml:space="preserve">-</w:t>
      </w:r>
      <w:r>
        <w:rPr>
          <w:rStyle w:val="AttributeTok"/>
        </w:rPr>
        <w:t xml:space="preserve"> </w:t>
      </w:r>
      <w:r>
        <w:rPr>
          <w:rStyle w:val="StringTok"/>
        </w:rPr>
        <w:t xml:space="preserve">"PBB-P2"</w:t>
      </w:r>
      <w:r>
        <w:br/>
      </w:r>
      <w:r>
        <w:rPr>
          <w:rStyle w:val="AttributeTok"/>
        </w:rPr>
        <w:t xml:space="preserve">  </w:t>
      </w:r>
      <w:r>
        <w:rPr>
          <w:rStyle w:val="KeywordTok"/>
        </w:rPr>
        <w:t xml:space="preserve">-</w:t>
      </w:r>
      <w:r>
        <w:rPr>
          <w:rStyle w:val="AttributeTok"/>
        </w:rPr>
        <w:t xml:space="preserve"> </w:t>
      </w:r>
      <w:r>
        <w:rPr>
          <w:rStyle w:val="StringTok"/>
        </w:rPr>
        <w:t xml:space="preserve">"BPHTB"</w:t>
      </w:r>
      <w:r>
        <w:br/>
      </w:r>
      <w:r>
        <w:rPr>
          <w:rStyle w:val="AttributeTok"/>
        </w:rPr>
        <w:t xml:space="preserve">  </w:t>
      </w:r>
      <w:r>
        <w:rPr>
          <w:rStyle w:val="KeywordTok"/>
        </w:rPr>
        <w:t xml:space="preserve">-</w:t>
      </w:r>
      <w:r>
        <w:rPr>
          <w:rStyle w:val="AttributeTok"/>
        </w:rPr>
        <w:t xml:space="preserve"> </w:t>
      </w:r>
      <w:r>
        <w:rPr>
          <w:rStyle w:val="StringTok"/>
        </w:rPr>
        <w:t xml:space="preserve">"kompensasi KLB"</w:t>
      </w:r>
      <w:r>
        <w:br/>
      </w:r>
      <w:r>
        <w:rPr>
          <w:rStyle w:val="AttributeTok"/>
        </w:rPr>
        <w:t xml:space="preserve">  </w:t>
      </w:r>
      <w:r>
        <w:rPr>
          <w:rStyle w:val="KeywordTok"/>
        </w:rPr>
        <w:t xml:space="preserve">-</w:t>
      </w:r>
      <w:r>
        <w:rPr>
          <w:rStyle w:val="AttributeTok"/>
        </w:rPr>
        <w:t xml:space="preserve"> </w:t>
      </w:r>
      <w:r>
        <w:rPr>
          <w:rStyle w:val="StringTok"/>
        </w:rPr>
        <w:t xml:space="preserve">"NJOP"</w:t>
      </w:r>
      <w:r>
        <w:br/>
      </w:r>
      <w:r>
        <w:rPr>
          <w:rStyle w:val="AttributeTok"/>
        </w:rPr>
        <w:t xml:space="preserve">  </w:t>
      </w:r>
      <w:r>
        <w:rPr>
          <w:rStyle w:val="KeywordTok"/>
        </w:rPr>
        <w:t xml:space="preserve">-</w:t>
      </w:r>
      <w:r>
        <w:rPr>
          <w:rStyle w:val="AttributeTok"/>
        </w:rPr>
        <w:t xml:space="preserve"> </w:t>
      </w:r>
      <w:r>
        <w:rPr>
          <w:rStyle w:val="StringTok"/>
        </w:rPr>
        <w:t xml:space="preserve">"pendapatan asli daerah"</w:t>
      </w:r>
      <w:r>
        <w:br/>
      </w:r>
      <w:r>
        <w:rPr>
          <w:rStyle w:val="AttributeTok"/>
        </w:rPr>
        <w:t xml:space="preserve">  </w:t>
      </w:r>
      <w:r>
        <w:rPr>
          <w:rStyle w:val="KeywordTok"/>
        </w:rPr>
        <w:t xml:space="preserve">-</w:t>
      </w:r>
      <w:r>
        <w:rPr>
          <w:rStyle w:val="AttributeTok"/>
        </w:rPr>
        <w:t xml:space="preserve"> </w:t>
      </w:r>
      <w:r>
        <w:rPr>
          <w:rStyle w:val="StringTok"/>
        </w:rPr>
        <w:t xml:space="preserve">"kawasan berorientasi transit"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 berbasis nilai kawasan"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"proyek KPBU di kawasan perkotaan"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"model public private partnership global"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"https://peraturan.go.id/id/perpres-no-79-tahun-2024"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"Identitas, tanggal diundangkan (12 Agustus 2024), dan status berlaku Perpres No. 79 Tahun 2024 tentang P3NK"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"https://pembiayaan.pu.go.id/news/detail/94/Peluang-Penerapan-Pembiayaan-Infrastruktur-Melalui-Skema-Land-Value-Capture-di-Indonesia"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"Belum ada bukti publik daerah yang memungut penerimaan LVC/P3NK; proyek percontohan masih memakai retribusi lokal dan bagi hasil aset"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"https://blogs.adb.org/blog/financing-urban-planning-asia-land-value-capture-creation-and-more"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"Model Rail+Property, kenaikan nilai properti di sekitar stasiun metro Shenzhen, dan skala kesenjangan investasi infrastruktur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"https://jdih.jakarta.go.id/dokumen/detail/10171/peraturan-gubernur-nomor-175-tahun-2015-tentang-pengenaan-kompensasi-terhadap-pelampauan-nilai-koefisien-lantai-bangunan"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"Silsilah regulasi kompensasi pelampauan KLB DKI Jakarta sebagai analog domestik yang mendahului P3NK"</w:t>
      </w:r>
      <w:r>
        <w:br/>
      </w:r>
      <w:r>
        <w:rPr>
          <w:rStyle w:val="FunctionTok"/>
        </w:rPr>
        <w:t xml:space="preserve">brief_id</w:t>
      </w:r>
      <w:r>
        <w:rPr>
          <w:rStyle w:val="KeywordTok"/>
        </w:rPr>
        <w:t xml:space="preserve">:</w:t>
      </w:r>
      <w:r>
        <w:rPr>
          <w:rStyle w:val="AttributeTok"/>
        </w:rPr>
        <w:t xml:space="preserve"> </w:t>
      </w:r>
      <w:r>
        <w:rPr>
          <w:rStyle w:val="StringTok"/>
        </w:rPr>
        <w:t xml:space="preserve">"pembiayaan-kreatif-01"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1755</w:t>
      </w:r>
    </w:p>
    <w:p>
      <w:r>
        <w:pict>
          <v:rect style="width:0;height:1.5pt" o:hralign="center" o:hrstd="t" o:hr="t"/>
        </w:pict>
      </w:r>
    </w:p>
    <w:bookmarkEnd w:id="16"/>
    <w:bookmarkStart w:id="37" w:name="X00d290411a5a23641dd5b5ee1781dbef61adae3"/>
    <w:p>
      <w:pPr>
        <w:pStyle w:val="Heading1"/>
      </w:pPr>
      <w:r>
        <w:t xml:space="preserve">Pembiayaan Kreatif dari Nilai Tanah: Aturan Ada, Hasil Belum</w:t>
      </w:r>
    </w:p>
    <w:p>
      <w:pPr>
        <w:pStyle w:val="FirstParagraph"/>
      </w:pPr>
      <w:r>
        <w:t xml:space="preserve">Sebuah jalan lingkar selesai dibangun dengan APBD. Dua tahun kemudian harga tanah di sepanjang koridornya naik puluhan persen, ruko bermunculan, dan seluruh kenaikan itu dinikmati pemilik lahan. Pemerintah daerah yang membayar jalannya hanya menerima tambahan tipis dari Pajak Bumi dan Bangunan Perdesaan dan Perkotaan (PBB-P2). Celah inilah yang seharusnya ditutup oleh</w:t>
      </w:r>
      <w:r>
        <w:t xml:space="preserve"> </w:t>
      </w:r>
      <w:hyperlink r:id="rId17">
        <w:r>
          <w:rPr>
            <w:rStyle w:val="Hyperlink"/>
          </w:rPr>
          <w:t xml:space="preserve">pembiayaan kreatif berbasis nilai kawasan</w:t>
        </w:r>
      </w:hyperlink>
      <w:r>
        <w:t xml:space="preserve">, keluarga instrumen pendanaan infrastruktur daerah di luar APBD murni yang mencakup Kerja Sama Pemerintah dengan Badan Usaha (KPBU) skala daerah dan</w:t>
      </w:r>
      <w:r>
        <w:t xml:space="preserve"> </w:t>
      </w:r>
      <w:r>
        <w:rPr>
          <w:i/>
          <w:iCs/>
        </w:rPr>
        <w:t xml:space="preserve">land value capture</w:t>
      </w:r>
      <w:r>
        <w:t xml:space="preserve">. Payung hukumnya sudah ada sejak 2024. Tulisan ini bukan penjelasan konsep yang ke-sekian, melainkan audit atas jarak antara aturan yang sudah terbit dan uang yang benar-benar masuk kas daerah.</w:t>
      </w:r>
    </w:p>
    <w:p>
      <w:pPr>
        <w:pStyle w:val="BlockText"/>
      </w:pPr>
      <w:r>
        <w:rPr>
          <w:b/>
          <w:bCs/>
        </w:rPr>
        <w:t xml:space="preserve">Ringkasnya:</w:t>
      </w:r>
      <w:r>
        <w:t xml:space="preserve"> </w:t>
      </w:r>
      <w:r>
        <w:t xml:space="preserve">Pembiayaan kreatif dalam konteks infrastruktur daerah adalah kumpulan skema pendanaan di luar APBD/APBN murni dan di luar pinjaman konvensional, termasuk KPBU skala kecil dan</w:t>
      </w:r>
      <w:r>
        <w:t xml:space="preserve"> </w:t>
      </w:r>
      <w:r>
        <w:rPr>
          <w:i/>
          <w:iCs/>
        </w:rPr>
        <w:t xml:space="preserve">land value capture</w:t>
      </w:r>
      <w:r>
        <w:t xml:space="preserve"> </w:t>
      </w:r>
      <w:r>
        <w:t xml:space="preserve">(LVC, penangkapan nilai lahan). Salah satu instrumennya, P3NK (Pengelolaan Perolehan Peningkatan Nilai Kawasan), memperoleh payung hukum lewat Peraturan Presiden No. 79 Tahun 2024, sementara aturan pelaksananya baru terbit pertengahan 2026.</w:t>
      </w:r>
    </w:p>
    <w:bookmarkStart w:id="19" w:name="X5d159b1451092baa5f3882184d2addbc3ce6d91"/>
    <w:p>
      <w:pPr>
        <w:pStyle w:val="Heading2"/>
      </w:pPr>
      <w:r>
        <w:t xml:space="preserve">Apa itu pembiayaan kreatif berbasis peningkatan nilai kawasan?</w:t>
      </w:r>
    </w:p>
    <w:p>
      <w:pPr>
        <w:pStyle w:val="FirstParagraph"/>
      </w:pPr>
      <w:r>
        <w:t xml:space="preserve">P3NK (Pengelolaan Perolehan Peningkatan Nilai Kawasan) adalah skema pendanaan infrastruktur berbasis kewilayahan yang memungkinkan sebagian kenaikan nilai kawasan, akibat inisiatif penciptaan nilai oleh pemerintah atau badan usaha, dipungut kembali dari Penerima Manfaat untuk mendanai infrastruktur. Dasar hukumnya</w:t>
      </w:r>
      <w:r>
        <w:t xml:space="preserve"> </w:t>
      </w:r>
      <w:hyperlink r:id="rId18">
        <w:r>
          <w:rPr>
            <w:rStyle w:val="Hyperlink"/>
          </w:rPr>
          <w:t xml:space="preserve">Peraturan Presiden No. 79 Tahun 2024</w:t>
        </w:r>
      </w:hyperlink>
      <w:r>
        <w:t xml:space="preserve">, diundangkan 12 Agustus 2024.</w:t>
      </w:r>
    </w:p>
    <w:p>
      <w:pPr>
        <w:pStyle w:val="BodyText"/>
      </w:pPr>
      <w:r>
        <w:t xml:space="preserve">Logikanya tua dan sederhana: infrastruktur publik menciptakan nilai, lalu sebagian nilai itu dikembalikan untuk mendanai infrastruktur berikutnya. Yang baru di Indonesia adalah namanya, kerangkanya, dan kewenangan formalnya.</w:t>
      </w:r>
    </w:p>
    <w:p>
      <w:pPr>
        <w:pStyle w:val="BodyText"/>
      </w:pPr>
      <w:r>
        <w:t xml:space="preserve">Perpres tersebut mendefinisikan</w:t>
      </w:r>
      <w:r>
        <w:t xml:space="preserve"> </w:t>
      </w:r>
      <w:r>
        <w:rPr>
          <w:b/>
          <w:bCs/>
        </w:rPr>
        <w:t xml:space="preserve">Penerima Manfaat</w:t>
      </w:r>
      <w:r>
        <w:t xml:space="preserve"> </w:t>
      </w:r>
      <w:r>
        <w:t xml:space="preserve">secara luas, yaitu setiap pihak yang memperoleh manfaat, langsung maupun tidak langsung, akibat adanya peningkatan nilai. Definisi seluas ini memberi ruang gerak sekaligus memindahkan seluruh beban pembuktian ke tahap teknis: siapa persisnya yang diuntungkan, seberapa besar, dan sampai radius berapa.</w:t>
      </w:r>
    </w:p>
    <w:p>
      <w:pPr>
        <w:pStyle w:val="BodyText"/>
      </w:pPr>
      <w:r>
        <w:t xml:space="preserve">Hal yang paling sering disalahpahami di ruang rapat Bappeda: P3NK adalah instrumen</w:t>
      </w:r>
      <w:r>
        <w:t xml:space="preserve"> </w:t>
      </w:r>
      <w:r>
        <w:rPr>
          <w:b/>
          <w:bCs/>
        </w:rPr>
        <w:t xml:space="preserve">penerimaan</w:t>
      </w:r>
      <w:r>
        <w:t xml:space="preserve">, bukan instrumen</w:t>
      </w:r>
      <w:r>
        <w:t xml:space="preserve"> </w:t>
      </w:r>
      <w:r>
        <w:rPr>
          <w:b/>
          <w:bCs/>
        </w:rPr>
        <w:t xml:space="preserve">utang</w:t>
      </w:r>
      <w:r>
        <w:t xml:space="preserve">. Skema ini dijalankan lewat unit pelaksana seperti SKPD, BLUD, atau BUMD, di luar mekanisme APBN maupun APBD konvensional, sehingga tidak tunduk pada ambang pinjaman daerah dalam Peraturan Pemerintah No. 1 Tahun 2024.</w:t>
      </w:r>
    </w:p>
    <w:bookmarkEnd w:id="19"/>
    <w:bookmarkStart w:id="22" w:name="Xbe47f88a12f62151c84343629163e027346978b"/>
    <w:p>
      <w:pPr>
        <w:pStyle w:val="Heading2"/>
      </w:pPr>
      <w:r>
        <w:t xml:space="preserve">Mengapa kenaikan nilai tanah di sekitar proyek tidak masuk ke kas daerah?</w:t>
      </w:r>
    </w:p>
    <w:p>
      <w:pPr>
        <w:pStyle w:val="FirstParagraph"/>
      </w:pPr>
      <w:r>
        <w:t xml:space="preserve">Karena PBB-P2 dipungut tahunan atas kepemilikan properti dan Bea Perolehan Hak atas Tanah dan Bangunan (BPHTB) dipungut sekali saat peralihan hak. Keduanya bergerak mengikuti Nilai Jual Objek Pajak (NJOP), bukan mengikuti selisih nilai yang diciptakan satu proyek infrastruktur tertentu. Tanpa instrumen yang menyasar selisih itu, kenaikan nilai kawasan berpindah ke pemilik lahan, bukan ke kas daerah.</w:t>
      </w:r>
    </w:p>
    <w:p>
      <w:pPr>
        <w:pStyle w:val="BodyText"/>
      </w:pPr>
      <w:r>
        <w:t xml:space="preserve">Angka pembandingnya ada, meski datang dari luar. Catatan</w:t>
      </w:r>
      <w:r>
        <w:t xml:space="preserve"> </w:t>
      </w:r>
      <w:hyperlink r:id="rId20">
        <w:r>
          <w:rPr>
            <w:rStyle w:val="Hyperlink"/>
          </w:rPr>
          <w:t xml:space="preserve">Asian Development Bank</w:t>
        </w:r>
      </w:hyperlink>
      <w:r>
        <w:t xml:space="preserve"> </w:t>
      </w:r>
      <w:r>
        <w:t xml:space="preserve">yang diakses September 2026 menunjukkan nilai rumah di sekitar stasiun metro Shenzhen naik 23% pada radius 400 meter dan 17% pada radius 600 meter, tanpa pemiliknya menanamkan satu rupiah pun pada stasiun itu. Mekanisme penangkapnya dikenal sebagai</w:t>
      </w:r>
      <w:r>
        <w:t xml:space="preserve"> </w:t>
      </w:r>
      <w:r>
        <w:rPr>
          <w:i/>
          <w:iCs/>
        </w:rPr>
        <w:t xml:space="preserve">Rail+Property</w:t>
      </w:r>
      <w:r>
        <w:t xml:space="preserve">, berjalan puluhan tahun di Hong Kong, Jepang, dan Singapura. Di sana penangkapan nilai bukan instrumen berdiri sendiri, melainkan bagian dari</w:t>
      </w:r>
      <w:r>
        <w:t xml:space="preserve"> </w:t>
      </w:r>
      <w:hyperlink r:id="rId21">
        <w:r>
          <w:rPr>
            <w:rStyle w:val="Hyperlink"/>
          </w:rPr>
          <w:t xml:space="preserve">model public private partnership global</w:t>
        </w:r>
      </w:hyperlink>
      <w:r>
        <w:t xml:space="preserve"> </w:t>
      </w:r>
      <w:r>
        <w:t xml:space="preserve">yang mengikat pengembangan properti ke kontrak infrastrukturnya sejak awal.</w:t>
      </w:r>
    </w:p>
    <w:p>
      <w:pPr>
        <w:pStyle w:val="BodyText"/>
      </w:pPr>
      <w:r>
        <w:t xml:space="preserve">Skalanya menjelaskan mengapa pemerintah tertarik. Dalam catatan yang sama, ADB memperkirakan kebutuhan investasi infrastruktur negara berkembang Asia-Pasifik mencapai USD 22,6 triliun untuk periode 2016–2030, dan menaksir kesenjangan investasi Indonesia hampir 5% dari PDB, jauh di atas rata-rata kawasan sebesar 2,4%. Tidak ada APBD yang menutup selisih sebesar itu dari pos belanja modal biasa.</w:t>
      </w:r>
    </w:p>
    <w:bookmarkEnd w:id="22"/>
    <w:bookmarkStart w:id="24" w:name="Xf3d5ee005d2b1dea7ed738b4a01bd5b9b2cf2e9"/>
    <w:p>
      <w:pPr>
        <w:pStyle w:val="Heading2"/>
      </w:pPr>
      <w:r>
        <w:t xml:space="preserve">Lima mekanisme P3NK dan status pemakaiannya per September 2026</w:t>
      </w:r>
    </w:p>
    <w:p>
      <w:pPr>
        <w:pStyle w:val="FirstParagraph"/>
      </w:pPr>
      <w:r>
        <w:t xml:space="preserve">Perpres 79/2024 menyebut lima mekanisme konkret: Dana P3NK, kompensasi pelampauan Koefisien Lantai Bangunan (KLB), pengalihan hak membangun antarzona, pemanfaatan barang milik negara/daerah, dan integrasi horizontal antara penyediaan infrastruktur dengan pengembangan properti. Kolom terakhir tabel berikut adalah bagian yang biasanya dihindari penjelasan LVC lain.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Mekanisme (Perpres 79/2024)</w:t>
            </w:r>
          </w:p>
        </w:tc>
        <w:tc>
          <w:tcPr/>
          <w:p>
            <w:pPr>
              <w:pStyle w:val="Compact"/>
            </w:pPr>
            <w:r>
              <w:t xml:space="preserve">Padanan praktik di Indonesia</w:t>
            </w:r>
          </w:p>
        </w:tc>
        <w:tc>
          <w:tcPr/>
          <w:p>
            <w:pPr>
              <w:pStyle w:val="Compact"/>
            </w:pPr>
            <w:r>
              <w:t xml:space="preserve">Dasar hukum</w:t>
            </w:r>
          </w:p>
        </w:tc>
        <w:tc>
          <w:tcPr/>
          <w:p>
            <w:pPr>
              <w:pStyle w:val="Compact"/>
            </w:pPr>
            <w:r>
              <w:t xml:space="preserve">Status per September 2026</w:t>
            </w:r>
          </w:p>
        </w:tc>
      </w:tr>
      <w:tr>
        <w:tc>
          <w:tcPr/>
          <w:p>
            <w:pPr>
              <w:pStyle w:val="Compact"/>
            </w:pPr>
            <w:r>
              <w:t xml:space="preserve">Dana P3NK</w:t>
            </w:r>
          </w:p>
        </w:tc>
        <w:tc>
          <w:tcPr/>
          <w:p>
            <w:pPr>
              <w:pStyle w:val="Compact"/>
            </w:pPr>
            <w:r>
              <w:t xml:space="preserve">Dana penangkapan nilai dikelola SKPD/BLUD/BUMD</w:t>
            </w:r>
          </w:p>
        </w:tc>
        <w:tc>
          <w:tcPr/>
          <w:p>
            <w:pPr>
              <w:pStyle w:val="Compact"/>
            </w:pPr>
            <w:r>
              <w:t xml:space="preserve">Perpres 79/2024 + Permenko 3/2026</w:t>
            </w:r>
          </w:p>
        </w:tc>
        <w:tc>
          <w:tcPr/>
          <w:p>
            <w:pPr>
              <w:pStyle w:val="Compact"/>
            </w:pPr>
            <w:r>
              <w:t xml:space="preserve">Kerangka pelaksana ada sejak Mei 2026; belum ada dokumentasi publik dana terkumpul</w:t>
            </w:r>
          </w:p>
        </w:tc>
      </w:tr>
      <w:tr>
        <w:tc>
          <w:tcPr/>
          <w:p>
            <w:pPr>
              <w:pStyle w:val="Compact"/>
            </w:pPr>
            <w:r>
              <w:t xml:space="preserve">Kompensasi pelampauan KLB</w:t>
            </w:r>
          </w:p>
        </w:tc>
        <w:tc>
          <w:tcPr/>
          <w:p>
            <w:pPr>
              <w:pStyle w:val="Compact"/>
            </w:pPr>
            <w:r>
              <w:t xml:space="preserve">Kompensasi KLB DKI Jakarta berupa fasilitas publik</w:t>
            </w:r>
          </w:p>
        </w:tc>
        <w:tc>
          <w:tcPr/>
          <w:p>
            <w:pPr>
              <w:pStyle w:val="Compact"/>
            </w:pPr>
            <w:r>
              <w:t xml:space="preserve">Pergub DKI No. 11 Tahun 2026</w:t>
            </w:r>
          </w:p>
        </w:tc>
        <w:tc>
          <w:tcPr/>
          <w:p>
            <w:pPr>
              <w:pStyle w:val="Compact"/>
            </w:pPr>
            <w:r>
              <w:t xml:space="preserve">Berjalan lebih dari satu dekade, tetapi jalur hukumnya terpisah dari P3NK</w:t>
            </w:r>
          </w:p>
        </w:tc>
      </w:tr>
      <w:tr>
        <w:tc>
          <w:tcPr/>
          <w:p>
            <w:pPr>
              <w:pStyle w:val="Compact"/>
            </w:pPr>
            <w:r>
              <w:t xml:space="preserve">Pengalihan hak membangun</w:t>
            </w:r>
          </w:p>
        </w:tc>
        <w:tc>
          <w:tcPr/>
          <w:p>
            <w:pPr>
              <w:pStyle w:val="Compact"/>
            </w:pPr>
            <w:r>
              <w:rPr>
                <w:i/>
                <w:iCs/>
              </w:rPr>
              <w:t xml:space="preserve">Transfer of development rights</w:t>
            </w:r>
            <w:r>
              <w:t xml:space="preserve"> </w:t>
            </w:r>
            <w:r>
              <w:t xml:space="preserve">antarzona</w:t>
            </w:r>
          </w:p>
        </w:tc>
        <w:tc>
          <w:tcPr/>
          <w:p>
            <w:pPr>
              <w:pStyle w:val="Compact"/>
            </w:pPr>
            <w:r>
              <w:t xml:space="preserve">Perpres 79/2024</w:t>
            </w:r>
          </w:p>
        </w:tc>
        <w:tc>
          <w:tcPr/>
          <w:p>
            <w:pPr>
              <w:pStyle w:val="Compact"/>
            </w:pPr>
            <w:r>
              <w:t xml:space="preserve">Instrumen baru; belum ada laporan implementasi</w:t>
            </w:r>
          </w:p>
        </w:tc>
      </w:tr>
      <w:tr>
        <w:tc>
          <w:tcPr/>
          <w:p>
            <w:pPr>
              <w:pStyle w:val="Compact"/>
            </w:pPr>
            <w:r>
              <w:t xml:space="preserve">Pemanfaatan BMN/BMD</w:t>
            </w:r>
          </w:p>
        </w:tc>
        <w:tc>
          <w:tcPr/>
          <w:p>
            <w:pPr>
              <w:pStyle w:val="Compact"/>
            </w:pPr>
            <w:r>
              <w:t xml:space="preserve">Kerja sama pemanfaatan aset di kawasan berorientasi transit</w:t>
            </w:r>
          </w:p>
        </w:tc>
        <w:tc>
          <w:tcPr/>
          <w:p>
            <w:pPr>
              <w:pStyle w:val="Compact"/>
            </w:pPr>
            <w:r>
              <w:t xml:space="preserve">Perpres 79/2024 + UU No. 1 Tahun 2022 (HKPD)</w:t>
            </w:r>
          </w:p>
        </w:tc>
        <w:tc>
          <w:tcPr/>
          <w:p>
            <w:pPr>
              <w:pStyle w:val="Compact"/>
            </w:pPr>
            <w:r>
              <w:t xml:space="preserve">Lazim dipakai di luar P3NK; penerapannya sebagai bagian P3NK belum terdokumentasi</w:t>
            </w:r>
          </w:p>
        </w:tc>
      </w:tr>
      <w:tr>
        <w:tc>
          <w:tcPr/>
          <w:p>
            <w:pPr>
              <w:pStyle w:val="Compact"/>
            </w:pPr>
            <w:r>
              <w:t xml:space="preserve">Integrasi horizontal</w:t>
            </w:r>
          </w:p>
        </w:tc>
        <w:tc>
          <w:tcPr/>
          <w:p>
            <w:pPr>
              <w:pStyle w:val="Compact"/>
            </w:pPr>
            <w:r>
              <w:t xml:space="preserve">Pengembangan kawasan terpadu bersama badan usaha</w:t>
            </w:r>
          </w:p>
        </w:tc>
        <w:tc>
          <w:tcPr/>
          <w:p>
            <w:pPr>
              <w:pStyle w:val="Compact"/>
            </w:pPr>
            <w:r>
              <w:t xml:space="preserve">Perpres 79/2024</w:t>
            </w:r>
          </w:p>
        </w:tc>
        <w:tc>
          <w:tcPr/>
          <w:p>
            <w:pPr>
              <w:pStyle w:val="Compact"/>
            </w:pPr>
            <w:r>
              <w:t xml:space="preserve">Konsepnya sudah dipraktikkan; kaitan formal dengan Dana P3NK belum terdokumentasi</w:t>
            </w:r>
          </w:p>
        </w:tc>
      </w:tr>
    </w:tbl>
    <w:p>
      <w:pPr>
        <w:pStyle w:val="BodyText"/>
      </w:pPr>
      <w:r>
        <w:t xml:space="preserve">Baris kompensasi KLB perlu dibaca hati-hati. Mekanisme DKI Jakarta berjalan di bawah kewenangan Gubernur atas tata bangunan lewat rantai</w:t>
      </w:r>
      <w:r>
        <w:t xml:space="preserve"> </w:t>
      </w:r>
      <w:hyperlink r:id="rId23">
        <w:r>
          <w:rPr>
            <w:rStyle w:val="Hyperlink"/>
          </w:rPr>
          <w:t xml:space="preserve">Pergub No. 175 Tahun 2015</w:t>
        </w:r>
      </w:hyperlink>
      <w:r>
        <w:t xml:space="preserve">, lalu Pergub 210/2016, kini Pergub No. 11 Tahun 2026 yang ditetapkan 9 April 2026. Ia mendahului dan berdiri terpisah dari Perpres 79/2024, dan kompensasinya berbentuk fasilitas publik seperti ruang terbuka hijau atau rumah susun sewa, bukan setoran tunai ke kas daerah. Menyebutnya</w:t>
      </w:r>
      <w:r>
        <w:t xml:space="preserve"> </w:t>
      </w:r>
      <w:r>
        <w:t xml:space="preserve">“P3NK yang sudah berhasil”</w:t>
      </w:r>
      <w:r>
        <w:t xml:space="preserve"> </w:t>
      </w:r>
      <w:r>
        <w:t xml:space="preserve">keliru.</w:t>
      </w:r>
    </w:p>
    <w:bookmarkEnd w:id="24"/>
    <w:bookmarkStart w:id="26" w:name="X02e0cc98d7824c33f6184bd9d648bb6bb074814"/>
    <w:p>
      <w:pPr>
        <w:pStyle w:val="Heading2"/>
      </w:pPr>
      <w:r>
        <w:t xml:space="preserve">Yang masih hilang sebelum daerah bisa memungut P3NK</w:t>
      </w:r>
    </w:p>
    <w:p>
      <w:pPr>
        <w:pStyle w:val="FirstParagraph"/>
      </w:pPr>
      <w:r>
        <w:t xml:space="preserve">Aturan pelaksananya sudah ada, tetapi baru. Peraturan Menteri Koordinator Bidang Perekonomian No. 3 Tahun 2026 diluncurkan sekitar akhir Mei hingga awal Juni 2026, kira-kira 21 bulan setelah Perpres diundangkan. Sesudah itu daerah masih menghadapi empat pekerjaan teknis yang belum punya bentuk baku: delineasi kawasan, metode valuasi, penetapan Penerima Manfaat, dan kualitas data pertanahan.</w:t>
      </w:r>
    </w:p>
    <w:p>
      <w:pPr>
        <w:pStyle w:val="BodyText"/>
      </w:pPr>
      <w:r>
        <w:t xml:space="preserve">Bagian yang jarang ditulis: hingga September 2026 tidak ditemukan dokumentasi publik bahwa ada satu daerah pun yang telah memungut dan membukukan penerimaan P3NK.</w:t>
      </w:r>
      <w:r>
        <w:t xml:space="preserve"> </w:t>
      </w:r>
      <w:hyperlink r:id="rId25">
        <w:r>
          <w:rPr>
            <w:rStyle w:val="Hyperlink"/>
          </w:rPr>
          <w:t xml:space="preserve">Portal pembiayaan infrastruktur Kementerian Pekerjaan Umum</w:t>
        </w:r>
      </w:hyperlink>
      <w:r>
        <w:t xml:space="preserve"> </w:t>
      </w:r>
      <w:r>
        <w:t xml:space="preserve">menyampaikan hal serupa, dan saat aturan pelaksananya diluncurkan pemerintah pusat justru masih meminta pemda mengidentifikasi calon proyek percontohan. Ketiadaan bukti bukan bukti ketiadaan, jadi kalimat yang tepat adalah</w:t>
      </w:r>
      <w:r>
        <w:t xml:space="preserve"> </w:t>
      </w:r>
      <w:r>
        <w:t xml:space="preserve">“belum terdokumentasi”</w:t>
      </w:r>
      <w:r>
        <w:t xml:space="preserve">, bukan</w:t>
      </w:r>
      <w:r>
        <w:t xml:space="preserve"> </w:t>
      </w:r>
      <w:r>
        <w:t xml:space="preserve">“tidak pernah terjadi”</w:t>
      </w:r>
      <w:r>
        <w:t xml:space="preserve">.</w:t>
      </w:r>
    </w:p>
    <w:p>
      <w:pPr>
        <w:pStyle w:val="BodyText"/>
      </w:pPr>
      <w:r>
        <w:t xml:space="preserve">Klaim soal lima proyek percontohan yang sudah rampung pun perlu takaran yang benar. Portal yang sama mengklarifikasi bahwa implementasinya masih terbatas pada retribusi lokal dan bagi hasil pemanfaatan aset, instrumen yang ada jauh sebelum P3NK. Tidak ada angka rupiah terkumpul yang disebut di sumber mana pun.</w:t>
      </w:r>
    </w:p>
    <w:p>
      <w:pPr>
        <w:pStyle w:val="BodyText"/>
      </w:pPr>
      <w:r>
        <w:t xml:space="preserve">Empat pekerjaan teknis itu, satu per satu:</w:t>
      </w:r>
    </w:p>
    <w:p>
      <w:pPr>
        <w:pStyle w:val="Compact"/>
        <w:numPr>
          <w:ilvl w:val="0"/>
          <w:numId w:val="1001"/>
        </w:numPr>
      </w:pPr>
      <w:r>
        <w:rPr>
          <w:b/>
          <w:bCs/>
        </w:rPr>
        <w:t xml:space="preserve">Delineasi kawasan terdampak.</w:t>
      </w:r>
      <w:r>
        <w:t xml:space="preserve"> </w:t>
      </w:r>
      <w:r>
        <w:t xml:space="preserve">Sampai radius atau koridor berapa sebuah proyek dianggap menaikkan nilai? Garis ini menentukan siapa membayar, dan akan digugat.</w:t>
      </w:r>
    </w:p>
    <w:p>
      <w:pPr>
        <w:pStyle w:val="Compact"/>
        <w:numPr>
          <w:ilvl w:val="0"/>
          <w:numId w:val="1001"/>
        </w:numPr>
      </w:pPr>
      <w:r>
        <w:rPr>
          <w:b/>
          <w:bCs/>
        </w:rPr>
        <w:t xml:space="preserve">Metode valuasi peningkatan nilai.</w:t>
      </w:r>
      <w:r>
        <w:t xml:space="preserve"> </w:t>
      </w:r>
      <w:r>
        <w:t xml:space="preserve">Memisahkan kenaikan akibat proyek dari kenaikan akibat inflasi dan siklus pasar menuntut basis data harga yang jarang dimiliki daerah.</w:t>
      </w:r>
    </w:p>
    <w:p>
      <w:pPr>
        <w:pStyle w:val="Compact"/>
        <w:numPr>
          <w:ilvl w:val="0"/>
          <w:numId w:val="1001"/>
        </w:numPr>
      </w:pPr>
      <w:r>
        <w:rPr>
          <w:b/>
          <w:bCs/>
        </w:rPr>
        <w:t xml:space="preserve">Penetapan Penerima Manfaat.</w:t>
      </w:r>
      <w:r>
        <w:t xml:space="preserve"> </w:t>
      </w:r>
      <w:r>
        <w:t xml:space="preserve">Definisi Perpres mencakup manfaat tidak langsung, sehingga daftar potensialnya besar dan harus dipersempit dengan kriteria yang dapat dipertahankan.</w:t>
      </w:r>
    </w:p>
    <w:p>
      <w:pPr>
        <w:pStyle w:val="Compact"/>
        <w:numPr>
          <w:ilvl w:val="0"/>
          <w:numId w:val="1001"/>
        </w:numPr>
      </w:pPr>
      <w:r>
        <w:rPr>
          <w:b/>
          <w:bCs/>
        </w:rPr>
        <w:t xml:space="preserve">Kualitas data pertanahan dan NJOP.</w:t>
      </w:r>
      <w:r>
        <w:t xml:space="preserve"> </w:t>
      </w:r>
      <w:r>
        <w:t xml:space="preserve">Bila NJOP tertinggal jauh dari harga pasar, dasar pengenaan pungutan ikut salah sejak awal.</w:t>
      </w:r>
    </w:p>
    <w:p>
      <w:pPr>
        <w:pStyle w:val="FirstParagraph"/>
      </w:pPr>
      <w:r>
        <w:t xml:space="preserve">Di titik inilah kualitas penyiapan proyek menentukan. Pengalaman PT PII mendampingi penyiapan dan menjamin proyek KPBU daerah memberi gambaran kawasan mana yang punya proyek pemicu cukup kuat, tanpa menjanjikan kepastian pendanaan dari skema berbasis nilai mana pun.</w:t>
      </w:r>
    </w:p>
    <w:bookmarkEnd w:id="26"/>
    <w:bookmarkStart w:id="28" w:name="X6f0872b02625ce1136a1ebd7d14434635ce0e29"/>
    <w:p>
      <w:pPr>
        <w:pStyle w:val="Heading2"/>
      </w:pPr>
      <w:r>
        <w:t xml:space="preserve">Kapan daerah Anda sebaiknya BELUM mengejar skema ini</w:t>
      </w:r>
    </w:p>
    <w:p>
      <w:pPr>
        <w:pStyle w:val="FirstParagraph"/>
      </w:pPr>
      <w:r>
        <w:t xml:space="preserve">Ketika tidak ada proyek pemicu di</w:t>
      </w:r>
      <w:r>
        <w:t xml:space="preserve"> </w:t>
      </w:r>
      <w:r>
        <w:rPr>
          <w:i/>
          <w:iCs/>
        </w:rPr>
        <w:t xml:space="preserve">pipeline</w:t>
      </w:r>
      <w:r>
        <w:t xml:space="preserve"> </w:t>
      </w:r>
      <w:r>
        <w:t xml:space="preserve">(daftar proyek yang sedang disiapkan), ketika kenaikan nilai kawasan terlalu tipis untuk menutup biaya administrasi pemungutan, ketika data NJOP jauh tertinggal dari harga pasar, atau ketika instrumen lain yang lebih matang belum dioptimalkan. Dalam empat kondisi itu P3NK menghabiskan waktu tim keuangan daerah tanpa menghasilkan penerimaan.</w:t>
      </w:r>
    </w:p>
    <w:p>
      <w:pPr>
        <w:pStyle w:val="BodyText"/>
      </w:pPr>
      <w:r>
        <w:t xml:space="preserve">Tidak semua proyek KPBU menciptakan nilai yang bisa ditangkap. KPBU Penerangan Jalan Umum Kabupaten Madiun, yang pertama di Indonesia dan beroperasi komersial 18 Juli 2023, memperbaiki layanan publik secara nyata tetapi tidak mengubah harga tanah satu koridor sebagaimana dilakukan simpul transit atau akses tol baru. Pemicu nilai yang relevan bagi P3NK umumnya lahir dari</w:t>
      </w:r>
      <w:r>
        <w:t xml:space="preserve"> </w:t>
      </w:r>
      <w:hyperlink r:id="rId27">
        <w:r>
          <w:rPr>
            <w:rStyle w:val="Hyperlink"/>
          </w:rPr>
          <w:t xml:space="preserve">proyek KPBU di kawasan perkotaan</w:t>
        </w:r>
      </w:hyperlink>
      <w:r>
        <w:t xml:space="preserve"> </w:t>
      </w:r>
      <w:r>
        <w:t xml:space="preserve">berbasis pengembangan kawasan.</w:t>
      </w:r>
    </w:p>
    <w:p>
      <w:pPr>
        <w:pStyle w:val="BodyText"/>
      </w:pPr>
      <w:r>
        <w:t xml:space="preserve">Tiga sinyal lain yang layak dibaca sebagai</w:t>
      </w:r>
      <w:r>
        <w:t xml:space="preserve"> </w:t>
      </w:r>
      <w:r>
        <w:t xml:space="preserve">“tunda dulu”</w:t>
      </w:r>
      <w:r>
        <w:t xml:space="preserve">:</w:t>
      </w:r>
    </w:p>
    <w:p>
      <w:pPr>
        <w:pStyle w:val="Compact"/>
        <w:numPr>
          <w:ilvl w:val="0"/>
          <w:numId w:val="1002"/>
        </w:numPr>
      </w:pPr>
      <w:r>
        <w:rPr>
          <w:b/>
          <w:bCs/>
        </w:rPr>
        <w:t xml:space="preserve">Kenaikan nilainya tipis.</w:t>
      </w:r>
      <w:r>
        <w:t xml:space="preserve"> </w:t>
      </w:r>
      <w:r>
        <w:t xml:space="preserve">Di kawasan dengan pasar properti datar, biaya kajian, valuasi, dan penetapan bisa melampaui penerimaan yang realistis dipungut.</w:t>
      </w:r>
    </w:p>
    <w:p>
      <w:pPr>
        <w:pStyle w:val="Compact"/>
        <w:numPr>
          <w:ilvl w:val="0"/>
          <w:numId w:val="1002"/>
        </w:numPr>
      </w:pPr>
      <w:r>
        <w:rPr>
          <w:b/>
          <w:bCs/>
        </w:rPr>
        <w:t xml:space="preserve">Ia terbaca sebagai pungutan baru.</w:t>
      </w:r>
      <w:r>
        <w:t xml:space="preserve"> </w:t>
      </w:r>
      <w:r>
        <w:t xml:space="preserve">P3NK menyasar pihak yang diuntungkan, tetapi secara politik tetap terasa seperti pajak tambahan. Tanpa komunikasi rapi soal apa yang dibiayai, resistensinya mahal.</w:t>
      </w:r>
    </w:p>
    <w:p>
      <w:pPr>
        <w:pStyle w:val="Compact"/>
        <w:numPr>
          <w:ilvl w:val="0"/>
          <w:numId w:val="1002"/>
        </w:numPr>
      </w:pPr>
      <w:r>
        <w:rPr>
          <w:b/>
          <w:bCs/>
        </w:rPr>
        <w:t xml:space="preserve">Ada pekerjaan rumah yang lebih murah.</w:t>
      </w:r>
      <w:r>
        <w:t xml:space="preserve"> </w:t>
      </w:r>
      <w:r>
        <w:t xml:space="preserve">Pemutakhiran NJOP agar mendekati harga pasar menaikkan Pendapatan Asli Daerah (PAD) lewat basis PBB-P2 yang sudah berjalan, tanpa perlu kerangka kelembagaan baru.</w:t>
      </w:r>
    </w:p>
    <w:bookmarkEnd w:id="28"/>
    <w:bookmarkStart w:id="35" w:name="faq-pertanyaan-yang-sering-diajukan"/>
    <w:p>
      <w:pPr>
        <w:pStyle w:val="Heading2"/>
      </w:pPr>
      <w:r>
        <w:t xml:space="preserve">FAQ (Pertanyaan yang Sering Diajukan)</w:t>
      </w:r>
    </w:p>
    <w:bookmarkStart w:id="29" w:name="Xbe833999fd19bba8664e9b220accc47e3e8904c"/>
    <w:p>
      <w:pPr>
        <w:pStyle w:val="Heading3"/>
      </w:pPr>
      <w:r>
        <w:t xml:space="preserve">Apa itu land value capture dalam konteks infrastruktur daerah?</w:t>
      </w:r>
    </w:p>
    <w:p>
      <w:pPr>
        <w:pStyle w:val="FirstParagraph"/>
      </w:pPr>
      <w:r>
        <w:rPr>
          <w:i/>
          <w:iCs/>
        </w:rPr>
        <w:t xml:space="preserve">Land value capture</w:t>
      </w:r>
      <w:r>
        <w:t xml:space="preserve"> </w:t>
      </w:r>
      <w:r>
        <w:t xml:space="preserve">adalah pendekatan pendanaan yang mengembalikan sebagian kenaikan nilai tanah, yang timbul akibat pembangunan infrastruktur publik, untuk mendanai infrastruktur itu sendiri atau proyek lanjutannya. Kerangka resminya di Indonesia bernama P3NK, diatur lewat Peraturan Presiden No. 79 Tahun 2024, dan berposisi sebagai instrumen penerimaan berbasis kawasan.</w:t>
      </w:r>
    </w:p>
    <w:bookmarkEnd w:id="29"/>
    <w:bookmarkStart w:id="30" w:name="apa-itu-p3nk-dan-apa-dasar-hukumnya"/>
    <w:p>
      <w:pPr>
        <w:pStyle w:val="Heading3"/>
      </w:pPr>
      <w:r>
        <w:t xml:space="preserve">Apa itu P3NK dan apa dasar hukumnya?</w:t>
      </w:r>
    </w:p>
    <w:p>
      <w:pPr>
        <w:pStyle w:val="FirstParagraph"/>
      </w:pPr>
      <w:r>
        <w:t xml:space="preserve">P3NK adalah Pengelolaan Perolehan Peningkatan Nilai Kawasan, diatur dalam Peraturan Presiden No. 79 Tahun 2024 yang diundangkan 12 Agustus 2024 melalui Berita Negara RI No. 166/2024. Aturan ini memuat lima mekanisme, antara lain Dana P3NK dan kompensasi pelampauan KLB, dengan siklus perencanaan, penciptaan nilai, penangkapan nilai, lalu pendanaan nilai.</w:t>
      </w:r>
    </w:p>
    <w:bookmarkEnd w:id="30"/>
    <w:bookmarkStart w:id="31" w:name="X5c3a2ac8fb4375f8f555125fd1125e9bbfb2322"/>
    <w:p>
      <w:pPr>
        <w:pStyle w:val="Heading3"/>
      </w:pPr>
      <w:r>
        <w:t xml:space="preserve">Apakah land value capture sudah diterapkan di Indonesia?</w:t>
      </w:r>
    </w:p>
    <w:p>
      <w:pPr>
        <w:pStyle w:val="FirstParagraph"/>
      </w:pPr>
      <w:r>
        <w:t xml:space="preserve">Payung hukumnya berlaku sejak Agustus 2024 dan aturan pelaksananya, Permenko No. 3 Tahun 2026, baru terbit sekitar Mei 2026. Hingga September 2026 belum ditemukan dokumentasi publik satu daerah pun yang telah memungut dan membukukan penerimaan P3NK. Pemerintah pusat masih mendorong daerah mengidentifikasi calon proyek percontohan.</w:t>
      </w:r>
    </w:p>
    <w:bookmarkEnd w:id="31"/>
    <w:bookmarkStart w:id="32" w:name="apa-bedanya-p3nk-dengan-pbb-p2-dan-bphtb"/>
    <w:p>
      <w:pPr>
        <w:pStyle w:val="Heading3"/>
      </w:pPr>
      <w:r>
        <w:t xml:space="preserve">Apa bedanya P3NK dengan PBB-P2 dan BPHTB?</w:t>
      </w:r>
    </w:p>
    <w:p>
      <w:pPr>
        <w:pStyle w:val="FirstParagraph"/>
      </w:pPr>
      <w:r>
        <w:t xml:space="preserve">PBB-P2 dipungut tahunan atas kepemilikan properti dan BPHTB dipungut sekali saat peralihan hak. Keduanya tidak dirancang menangkap kenaikan nilai akibat satu investasi infrastruktur tertentu. P3NK menyasar selisih nilai tambah tersebut dan memungutnya dari Penerima Manfaat, di luar basis PBB-P2 dan BPHTB yang sudah berjalan.</w:t>
      </w:r>
    </w:p>
    <w:bookmarkEnd w:id="32"/>
    <w:bookmarkStart w:id="33" w:name="Xf8b56e7239911c373dd52cdb13b52d52fe52ac2"/>
    <w:p>
      <w:pPr>
        <w:pStyle w:val="Heading3"/>
      </w:pPr>
      <w:r>
        <w:t xml:space="preserve">Siapa yang disebut Penerima Manfaat dalam skema P3NK?</w:t>
      </w:r>
    </w:p>
    <w:p>
      <w:pPr>
        <w:pStyle w:val="FirstParagraph"/>
      </w:pPr>
      <w:r>
        <w:t xml:space="preserve">Menurut Peraturan Presiden No. 79 Tahun 2024, Penerima Manfaat adalah setiap pihak yang memperoleh manfaat, langsung maupun tidak langsung, akibat peningkatan nilai kawasan. Cakupannya luas: pemilik lahan, pengembang, hingga pihak yang menikmati naiknya permintaan properti di koridor yang terdampak proyek infrastruktur.</w:t>
      </w:r>
    </w:p>
    <w:bookmarkEnd w:id="33"/>
    <w:bookmarkStart w:id="34" w:name="apakah-p3nk-menambah-utang-daerah"/>
    <w:p>
      <w:pPr>
        <w:pStyle w:val="Heading3"/>
      </w:pPr>
      <w:r>
        <w:t xml:space="preserve">Apakah P3NK menambah utang daerah?</w:t>
      </w:r>
    </w:p>
    <w:p>
      <w:pPr>
        <w:pStyle w:val="FirstParagraph"/>
      </w:pPr>
      <w:r>
        <w:t xml:space="preserve">Tidak. P3NK diposisikan sebagai instrumen penerimaan berbasis kawasan yang dijalankan lewat SKPD, BLUD, atau BUMD, di luar mekanisme APBN maupun APBD konvensional. Karena bukan pinjaman, ia tidak tunduk pada ambang pinjaman daerah dalam Peraturan Pemerintah No. 1 Tahun 2024. Perlakuan fiskalnya berbeda dari pembiayaan utang.</w:t>
      </w:r>
    </w:p>
    <w:bookmarkEnd w:id="34"/>
    <w:bookmarkEnd w:id="35"/>
    <w:bookmarkStart w:id="36" w:name="kesimpulan"/>
    <w:p>
      <w:pPr>
        <w:pStyle w:val="Heading2"/>
      </w:pPr>
      <w:r>
        <w:t xml:space="preserve">Kesimpulan</w:t>
      </w:r>
    </w:p>
    <w:p>
      <w:pPr>
        <w:pStyle w:val="FirstParagraph"/>
      </w:pPr>
      <w:r>
        <w:t xml:space="preserve">Dua tahun setelah payung hukumnya terbit dan beberapa bulan setelah aturan pelaksananya ada, P3NK masih berupa kapasitas, bukan penerimaan. Itu bukan alasan mengabaikannya, melainkan alasan memasukkannya ke dokumen perencanaan sebagai kajian, bukan sebagai target pendapatan tahun depan. Daerah yang paling siap memungut nanti adalah daerah yang hari ini sedang menyiapkan proyek pemicunya. Sebagai Badan Usaha Penjaminan Infrastruktur di bawah Kementerian Keuangan, PT PII mendampingi penyiapan dan strukturisasi transaksi proyek KPBU daerah, dengan portofolio 61 proyek dijamin yang total nilai proyeknya lebih dari Rp 732 triliun per Juni 2026. Perannya di sisi kesiapan proyek, bukan pada pemungutan nilai kawasan.</w:t>
      </w:r>
    </w:p>
    <w:p>
      <w:pPr>
        <w:pStyle w:val="BodyText"/>
      </w:pPr>
      <w:r>
        <w:t xml:space="preserve">Ragam skema pembiayaan kreatif untuk proyek infrastruktur daerah, berikut jalur diskusi awalnya, dapat ditelusuri di ptpii.co.id.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blogs.adb.org/blog/financing-urban-planning-asia-land-value-capture-creation-and-more" TargetMode="External" /><Relationship Type="http://schemas.openxmlformats.org/officeDocument/2006/relationships/hyperlink" Id="rId23" Target="https://jdih.jakarta.go.id/dokumen/detail/10171/peraturan-gubernur-nomor-175-tahun-2015-tentang-pengenaan-kompensasi-terhadap-pelampauan-nilai-koefisien-lantai-bangunan" TargetMode="External" /><Relationship Type="http://schemas.openxmlformats.org/officeDocument/2006/relationships/hyperlink" Id="rId25" Target="https://pembiayaan.pu.go.id/news/detail/94/Peluang-Penerapan-Pembiayaan-Infrastruktur-Melalui-Skema-Land-Value-Capture-di-Indonesia" TargetMode="External" /><Relationship Type="http://schemas.openxmlformats.org/officeDocument/2006/relationships/hyperlink" Id="rId18" Target="https://peraturan.go.id/id/perpres-no-79-tahun-2024" TargetMode="External" /><Relationship Type="http://schemas.openxmlformats.org/officeDocument/2006/relationships/hyperlink" Id="rId27"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0" Target="https://blogs.adb.org/blog/financing-urban-planning-asia-land-value-capture-creation-and-more" TargetMode="External" /><Relationship Type="http://schemas.openxmlformats.org/officeDocument/2006/relationships/hyperlink" Id="rId23" Target="https://jdih.jakarta.go.id/dokumen/detail/10171/peraturan-gubernur-nomor-175-tahun-2015-tentang-pengenaan-kompensasi-terhadap-pelampauan-nilai-koefisien-lantai-bangunan" TargetMode="External" /><Relationship Type="http://schemas.openxmlformats.org/officeDocument/2006/relationships/hyperlink" Id="rId25" Target="https://pembiayaan.pu.go.id/news/detail/94/Peluang-Penerapan-Pembiayaan-Infrastruktur-Melalui-Skema-Land-Value-Capture-di-Indonesia" TargetMode="External" /><Relationship Type="http://schemas.openxmlformats.org/officeDocument/2006/relationships/hyperlink" Id="rId18" Target="https://peraturan.go.id/id/perpres-no-79-tahun-2024" TargetMode="External" /><Relationship Type="http://schemas.openxmlformats.org/officeDocument/2006/relationships/hyperlink" Id="rId27"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2026-09-22T01:19:51Z</dcterms:created>
  <dcterms:modified xsi:type="dcterms:W3CDTF">2026-09-22T01:19:51Z</dcterms:modified>
</cp:coreProperties>
</file>

<file path=docProps/custom.xml><?xml version="1.0" encoding="utf-8"?>
<Properties xmlns="http://schemas.openxmlformats.org/officeDocument/2006/custom-properties" xmlns:vt="http://schemas.openxmlformats.org/officeDocument/2006/docPropsVTypes"/>
</file>