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Kreatif: Berapa Utang yang Boleh Ditanggung Pemda"</w:t>
      </w:r>
      <w:r>
        <w:br/>
      </w:r>
      <w:r>
        <w:rPr>
          <w:rStyle w:val="FunctionTok"/>
        </w:rPr>
        <w:t xml:space="preserve">meta_title</w:t>
      </w:r>
      <w:r>
        <w:rPr>
          <w:rStyle w:val="KeywordTok"/>
        </w:rPr>
        <w:t xml:space="preserve">:</w:t>
      </w:r>
      <w:r>
        <w:rPr>
          <w:rStyle w:val="AttributeTok"/>
        </w:rPr>
        <w:t xml:space="preserve"> </w:t>
      </w:r>
      <w:r>
        <w:rPr>
          <w:rStyle w:val="StringTok"/>
        </w:rPr>
        <w:t xml:space="preserve">"Pembiayaan Kreatif: Batas Utang Daerah &amp; Cara Hitungnya"</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kreatif daerah punya dua ambang legal: utang maksimal 75% penerimaan umum APBD dan DSCR minimal 2,5. Cara menghitung ruang fiskal pemda."</w:t>
      </w:r>
      <w:r>
        <w:br/>
      </w:r>
      <w:r>
        <w:rPr>
          <w:rStyle w:val="FunctionTok"/>
        </w:rPr>
        <w:t xml:space="preserve">slug</w:t>
      </w:r>
      <w:r>
        <w:rPr>
          <w:rStyle w:val="KeywordTok"/>
        </w:rPr>
        <w:t xml:space="preserve">:</w:t>
      </w:r>
      <w:r>
        <w:rPr>
          <w:rStyle w:val="AttributeTok"/>
        </w:rPr>
        <w:t xml:space="preserve"> </w:t>
      </w:r>
      <w:r>
        <w:rPr>
          <w:rStyle w:val="StringTok"/>
        </w:rPr>
        <w:t xml:space="preserve">"pembiayaan-kreatif-batas-utang-daerah"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Kreatif"</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"batas pinjaman daerah"</w:t>
      </w:r>
      <w:r>
        <w:br/>
      </w:r>
      <w:r>
        <w:rPr>
          <w:rStyle w:val="AttributeTok"/>
        </w:rPr>
        <w:t xml:space="preserve">  </w:t>
      </w:r>
      <w:r>
        <w:rPr>
          <w:rStyle w:val="KeywordTok"/>
        </w:rPr>
        <w:t xml:space="preserve">-</w:t>
      </w:r>
      <w:r>
        <w:rPr>
          <w:rStyle w:val="AttributeTok"/>
        </w:rPr>
        <w:t xml:space="preserve"> </w:t>
      </w:r>
      <w:r>
        <w:rPr>
          <w:rStyle w:val="StringTok"/>
        </w:rPr>
        <w:t xml:space="preserve">"pembiayaan utang daerah"</w:t>
      </w:r>
      <w:r>
        <w:br/>
      </w:r>
      <w:r>
        <w:rPr>
          <w:rStyle w:val="AttributeTok"/>
        </w:rPr>
        <w:t xml:space="preserve">  </w:t>
      </w:r>
      <w:r>
        <w:rPr>
          <w:rStyle w:val="KeywordTok"/>
        </w:rPr>
        <w:t xml:space="preserve">-</w:t>
      </w:r>
      <w:r>
        <w:rPr>
          <w:rStyle w:val="AttributeTok"/>
        </w:rPr>
        <w:t xml:space="preserve"> </w:t>
      </w:r>
      <w:r>
        <w:rPr>
          <w:rStyle w:val="StringTok"/>
        </w:rPr>
        <w:t xml:space="preserve">"DSCR daerah"</w:t>
      </w:r>
      <w:r>
        <w:br/>
      </w:r>
      <w:r>
        <w:rPr>
          <w:rStyle w:val="AttributeTok"/>
        </w:rPr>
        <w:t xml:space="preserve">  </w:t>
      </w:r>
      <w:r>
        <w:rPr>
          <w:rStyle w:val="KeywordTok"/>
        </w:rPr>
        <w:t xml:space="preserve">-</w:t>
      </w:r>
      <w:r>
        <w:rPr>
          <w:rStyle w:val="AttributeTok"/>
        </w:rPr>
        <w:t xml:space="preserve"> </w:t>
      </w:r>
      <w:r>
        <w:rPr>
          <w:rStyle w:val="StringTok"/>
        </w:rPr>
        <w:t xml:space="preserve">"penerimaan umum APBD"</w:t>
      </w:r>
      <w:r>
        <w:br/>
      </w:r>
      <w:r>
        <w:rPr>
          <w:rStyle w:val="AttributeTok"/>
        </w:rPr>
        <w:t xml:space="preserve">  </w:t>
      </w:r>
      <w:r>
        <w:rPr>
          <w:rStyle w:val="KeywordTok"/>
        </w:rPr>
        <w:t xml:space="preserve">-</w:t>
      </w:r>
      <w:r>
        <w:rPr>
          <w:rStyle w:val="AttributeTok"/>
        </w:rPr>
        <w:t xml:space="preserve"> </w:t>
      </w:r>
      <w:r>
        <w:rPr>
          <w:rStyle w:val="StringTok"/>
        </w:rPr>
        <w:t xml:space="preserve">"kapasitas fiskal daerah"</w:t>
      </w:r>
      <w:r>
        <w:br/>
      </w:r>
      <w:r>
        <w:rPr>
          <w:rStyle w:val="AttributeTok"/>
        </w:rPr>
        <w:t xml:space="preserve">  </w:t>
      </w:r>
      <w:r>
        <w:rPr>
          <w:rStyle w:val="KeywordTok"/>
        </w:rPr>
        <w:t xml:space="preserve">-</w:t>
      </w:r>
      <w:r>
        <w:rPr>
          <w:rStyle w:val="AttributeTok"/>
        </w:rPr>
        <w:t xml:space="preserve"> </w:t>
      </w:r>
      <w:r>
        <w:rPr>
          <w:rStyle w:val="StringTok"/>
        </w:rPr>
        <w:t xml:space="preserve">"PP 1/2024"</w:t>
      </w:r>
      <w:r>
        <w:br/>
      </w:r>
      <w:r>
        <w:rPr>
          <w:rStyle w:val="AttributeTok"/>
        </w:rPr>
        <w:t xml:space="preserve">  </w:t>
      </w:r>
      <w:r>
        <w:rPr>
          <w:rStyle w:val="KeywordTok"/>
        </w:rPr>
        <w:t xml:space="preserve">-</w:t>
      </w:r>
      <w:r>
        <w:rPr>
          <w:rStyle w:val="AttributeTok"/>
        </w:rPr>
        <w:t xml:space="preserve"> </w:t>
      </w:r>
      <w:r>
        <w:rPr>
          <w:rStyle w:val="StringTok"/>
        </w:rPr>
        <w:t xml:space="preserve">"obligasi daerah"</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"kontrak tahun jamak"</w:t>
      </w:r>
      <w:r>
        <w:br/>
      </w:r>
      <w:r>
        <w:rPr>
          <w:rStyle w:val="AttributeTok"/>
        </w:rPr>
        <w:t xml:space="preserve">  </w:t>
      </w:r>
      <w:r>
        <w:rPr>
          <w:rStyle w:val="KeywordTok"/>
        </w:rPr>
        <w:t xml:space="preserve">-</w:t>
      </w:r>
      <w:r>
        <w:rPr>
          <w:rStyle w:val="AttributeTok"/>
        </w:rPr>
        <w:t xml:space="preserve"> </w:t>
      </w:r>
      <w:r>
        <w:rPr>
          <w:rStyle w:val="StringTok"/>
        </w:rPr>
        <w:t xml:space="preserve">"KPBU daerah"</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"kapasitas pembiayaan kreatif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"komitmen jangka panjang dalam kontrak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"standar public private partnership internasional"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"https://peraturan.go.id/id/pp-no-1-tahun-2024"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"Identitas, tanggal pengundangan, status berlaku, dan daftar regulasi yang dicabut PP No. 1 Tahun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"https://kpbu.kemenkeu.go.id/read/1095-1258/pjpk/pembayaran-kepada-badan-usaha/pembayaran-ketersediaan-layanan"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konsep Availability Payment dari portal KPBU Kementerian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"https://bpkd.jakarta.go.id/artikel/detail/903"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rencana obligasi daerah DKI Jakarta Rp 3,5 triliun dan target penerbitan Juni 2027"</w:t>
      </w:r>
      <w:r>
        <w:br/>
      </w:r>
      <w:r>
        <w:rPr>
          <w:rStyle w:val="FunctionTok"/>
        </w:rPr>
        <w:t xml:space="preserve">brief_id</w:t>
      </w:r>
      <w:r>
        <w:rPr>
          <w:rStyle w:val="KeywordTok"/>
        </w:rPr>
        <w:t xml:space="preserve">:</w:t>
      </w:r>
      <w:r>
        <w:rPr>
          <w:rStyle w:val="AttributeTok"/>
        </w:rPr>
        <w:t xml:space="preserve"> </w:t>
      </w:r>
      <w:r>
        <w:rPr>
          <w:rStyle w:val="StringTok"/>
        </w:rPr>
        <w:t xml:space="preserve">"pembiayaan-kreatif-02"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1786</w:t>
      </w:r>
    </w:p>
    <w:p>
      <w:r>
        <w:pict>
          <v:rect style="width:0;height:1.5pt" o:hralign="center" o:hrstd="t" o:hr="t"/>
        </w:pict>
      </w:r>
    </w:p>
    <w:bookmarkEnd w:id="16"/>
    <w:bookmarkStart w:id="36" w:name="X27600913469dc3de2238d7132f70808e39711a9"/>
    <w:p>
      <w:pPr>
        <w:pStyle w:val="Heading1"/>
      </w:pPr>
      <w:r>
        <w:t xml:space="preserve">Pembiayaan Kreatif: Berapa Utang yang Boleh Ditanggung Pemda</w:t>
      </w:r>
    </w:p>
    <w:p>
      <w:pPr>
        <w:pStyle w:val="FirstParagraph"/>
      </w:pPr>
      <w:r>
        <w:t xml:space="preserve">Di rapat pembahasan proyek infrastruktur daerah, pertanyaan yang paling sering menghentikan diskusi datang dari bagian keuangan: kalau daerah mengambil skema ini, posisi fiskal kita masih aman atau tidak? Jawabannya biasanya berputar pada perasaan, bukan angka. Padahal ada dua ambang kuantitatif yang tertulis dalam peraturan, dan keduanya bisa dihitung dengan dokumen APBD yang sudah ada di meja. Artikel ini membedah</w:t>
      </w:r>
      <w:r>
        <w:t xml:space="preserve"> </w:t>
      </w:r>
      <w:hyperlink r:id="rId17">
        <w:r>
          <w:rPr>
            <w:rStyle w:val="Hyperlink"/>
          </w:rPr>
          <w:t xml:space="preserve">kapasitas pembiayaan kreatif daerah</w:t>
        </w:r>
      </w:hyperlink>
      <w:r>
        <w:t xml:space="preserve"> </w:t>
      </w:r>
      <w:r>
        <w:t xml:space="preserve">dari sisi yang jarang dibahas: berapa utang yang legal, bagaimana menghitungnya, dan kewajiban mana dalam kontrak KPBU (</w:t>
      </w:r>
      <w:r>
        <w:rPr>
          <w:i/>
          <w:iCs/>
        </w:rPr>
        <w:t xml:space="preserve">Kerja Sama Pemerintah dengan Badan Usaha</w:t>
      </w:r>
      <w:r>
        <w:t xml:space="preserve">) yang mengikat APBD tanpa masuk hitungan utang.</w:t>
      </w:r>
    </w:p>
    <w:p>
      <w:pPr>
        <w:pStyle w:val="BlockText"/>
      </w:pPr>
      <w:r>
        <w:rPr>
          <w:b/>
          <w:bCs/>
        </w:rPr>
        <w:t xml:space="preserve">Ringkasnya:</w:t>
      </w:r>
      <w:r>
        <w:t xml:space="preserve"> </w:t>
      </w:r>
      <w:r>
        <w:t xml:space="preserve">Pembiayaan kreatif dalam konteks infrastruktur daerah adalah rangkaian instrumen pendanaan di luar APBD murni untuk proyek infrastruktur pemerintah daerah, termasuk KPBU berskala kecil dan regional. Sebagian instrumen, yakni pinjaman daerah dan obligasi daerah, tergolong Pembiayaan Utang Daerah dan tunduk pada dua ambang dalam PP No. 1 Tahun 2024: batas 75% penerimaan umum APBD dan DSCR minimal 2,5.</w:t>
      </w:r>
    </w:p>
    <w:bookmarkStart w:id="19" w:name="X99a6adf6c441d5402afe1d324208843870c3b0a"/>
    <w:p>
      <w:pPr>
        <w:pStyle w:val="Heading2"/>
      </w:pPr>
      <w:r>
        <w:t xml:space="preserve">Apa itu Pembiayaan Utang Daerah dan di mana posisinya dalam pembiayaan kreatif</w:t>
      </w:r>
    </w:p>
    <w:p>
      <w:pPr>
        <w:pStyle w:val="FirstParagraph"/>
      </w:pPr>
      <w:r>
        <w:t xml:space="preserve">Pembiayaan Utang Daerah adalah setiap penerimaan daerah yang harus dibayar kembali, baik pada tahun anggaran berjalan maupun tahun-tahun berikutnya. Definisi itu tertulis pada Pasal 1 angka 18 PP No. 1 Tahun 2024. Ia menaungi dua instrumen yang berbeda bentuk: pinjaman daerah yang diikat perjanjian, dan obligasi daerah yang berupa surat berharga.</w:t>
      </w:r>
    </w:p>
    <w:p>
      <w:pPr>
        <w:pStyle w:val="Compact"/>
        <w:numPr>
          <w:ilvl w:val="0"/>
          <w:numId w:val="1001"/>
        </w:numPr>
      </w:pPr>
      <w:r>
        <w:rPr>
          <w:b/>
          <w:bCs/>
        </w:rPr>
        <w:t xml:space="preserve">Pembiayaan Utang Daerah</w:t>
      </w:r>
      <w:r>
        <w:t xml:space="preserve">: payung besarnya, yaitu setiap penerimaan daerah yang harus dibayar kembali (Pasal 1 angka 18).</w:t>
      </w:r>
    </w:p>
    <w:p>
      <w:pPr>
        <w:pStyle w:val="Compact"/>
        <w:numPr>
          <w:ilvl w:val="0"/>
          <w:numId w:val="1001"/>
        </w:numPr>
      </w:pPr>
      <w:r>
        <w:rPr>
          <w:b/>
          <w:bCs/>
        </w:rPr>
        <w:t xml:space="preserve">Pinjaman Daerah</w:t>
      </w:r>
      <w:r>
        <w:t xml:space="preserve">: utang yang diikat dalam perjanjian pinjaman dan bukan dalam bentuk surat berharga (Pasal 1 angka 19).</w:t>
      </w:r>
    </w:p>
    <w:p>
      <w:pPr>
        <w:pStyle w:val="Compact"/>
        <w:numPr>
          <w:ilvl w:val="0"/>
          <w:numId w:val="1001"/>
        </w:numPr>
      </w:pPr>
      <w:r>
        <w:rPr>
          <w:b/>
          <w:bCs/>
        </w:rPr>
        <w:t xml:space="preserve">Obligasi Daerah</w:t>
      </w:r>
      <w:r>
        <w:t xml:space="preserve">: surat berharga berupa pengakuan utang yang diterbitkan pemerintah daerah (Pasal 1 angka 26).</w:t>
      </w:r>
    </w:p>
    <w:p>
      <w:pPr>
        <w:pStyle w:val="FirstParagraph"/>
      </w:pPr>
      <w:r>
        <w:t xml:space="preserve">Konsekuensinya nyata. Karena definisi Pinjaman Daerah justru mengecualikan surat berharga, obligasi daerah dan pinjaman daerah adalah dua instrumen terpisah yang tunduk pada ambang yang sama.</w:t>
      </w:r>
    </w:p>
    <w:p>
      <w:pPr>
        <w:pStyle w:val="BodyText"/>
      </w:pPr>
      <w:r>
        <w:t xml:space="preserve">PP No. 1 Tahun 2024 tentang Harmonisasi Kebijakan Fiskal Nasional diundangkan 2 Januari 2024 dan mencabut PP No. 56 Tahun 2018 tentang Pinjaman Daerah beserta dua regulasi terkait (</w:t>
      </w:r>
      <w:hyperlink r:id="rId18">
        <w:r>
          <w:rPr>
            <w:rStyle w:val="Hyperlink"/>
          </w:rPr>
          <w:t xml:space="preserve">peraturan.go.id</w:t>
        </w:r>
      </w:hyperlink>
      <w:r>
        <w:t xml:space="preserve">, diakses September 2026). Pembiayaan Utang Daerah adalah satu dari empat pilarnya, diatur pada BAB III, Pasal 36–71. Sebagian halaman portal pemerintah masih memajang dasar hukum lama, jadi rujuk PP ini langsung.</w:t>
      </w:r>
    </w:p>
    <w:p>
      <w:pPr>
        <w:pStyle w:val="BodyText"/>
      </w:pPr>
      <w:r>
        <w:t xml:space="preserve">Satu hal dipegang sejak awal: tidak semua pembiayaan kreatif berarti berutang.</w:t>
      </w:r>
    </w:p>
    <w:bookmarkEnd w:id="19"/>
    <w:bookmarkStart w:id="20" w:name="X730d2bf2e1271a797db51968de6b927644d73c6"/>
    <w:p>
      <w:pPr>
        <w:pStyle w:val="Heading2"/>
      </w:pPr>
      <w:r>
        <w:t xml:space="preserve">Berapa besar utang yang boleh ditanggung sebuah daerah?</w:t>
      </w:r>
    </w:p>
    <w:p>
      <w:pPr>
        <w:pStyle w:val="FirstParagraph"/>
      </w:pPr>
      <w:r>
        <w:t xml:space="preserve">Pasal 40 PP No. 1 Tahun 2024 memasang dua angka. Pertama, sisa Pembiayaan Utang Daerah ditambah yang akan ditarik tidak boleh melebihi 75% penerimaan umum APBD tahun sebelumnya. Kedua, rasio kemampuan keuangan daerah untuk mengembalikan utang, atau</w:t>
      </w:r>
      <w:r>
        <w:t xml:space="preserve"> </w:t>
      </w:r>
      <w:r>
        <w:rPr>
          <w:i/>
          <w:iCs/>
        </w:rPr>
        <w:t xml:space="preserve">Debt Service Coverage Ratio</w:t>
      </w:r>
      <w:r>
        <w:t xml:space="preserve"> </w:t>
      </w:r>
      <w:r>
        <w:t xml:space="preserve">(DSCR), ditetapkan paling sedikit 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Ambang</w:t>
            </w:r>
          </w:p>
        </w:tc>
        <w:tc>
          <w:tcPr/>
          <w:p>
            <w:pPr>
              <w:pStyle w:val="Compact"/>
            </w:pPr>
            <w:r>
              <w:t xml:space="preserve">Nilai</w:t>
            </w:r>
          </w:p>
        </w:tc>
        <w:tc>
          <w:tcPr/>
          <w:p>
            <w:pPr>
              <w:pStyle w:val="Compact"/>
            </w:pPr>
            <w:r>
              <w:t xml:space="preserve">Dasar hukum</w:t>
            </w:r>
          </w:p>
        </w:tc>
        <w:tc>
          <w:tcPr/>
          <w:p>
            <w:pPr>
              <w:pStyle w:val="Compact"/>
            </w:pPr>
            <w:r>
              <w:t xml:space="preserve">Yang diukur</w:t>
            </w:r>
          </w:p>
        </w:tc>
      </w:tr>
      <w:tr>
        <w:tc>
          <w:tcPr/>
          <w:p>
            <w:pPr>
              <w:pStyle w:val="Compact"/>
            </w:pPr>
            <w:r>
              <w:t xml:space="preserve">Batas kumulatif Pembiayaan Utang Daerah</w:t>
            </w:r>
          </w:p>
        </w:tc>
        <w:tc>
          <w:tcPr/>
          <w:p>
            <w:pPr>
              <w:pStyle w:val="Compact"/>
            </w:pPr>
            <w:r>
              <w:t xml:space="preserve">≤ 75% penerimaan umum APBD tahun sebelumnya</w:t>
            </w:r>
          </w:p>
        </w:tc>
        <w:tc>
          <w:tcPr/>
          <w:p>
            <w:pPr>
              <w:pStyle w:val="Compact"/>
            </w:pPr>
            <w:r>
              <w:t xml:space="preserve">Pasal 40 ayat (2) huruf a jo. ayat (3)</w:t>
            </w:r>
          </w:p>
        </w:tc>
        <w:tc>
          <w:tcPr/>
          <w:p>
            <w:pPr>
              <w:pStyle w:val="Compact"/>
            </w:pPr>
            <w:r>
              <w:t xml:space="preserve">Sisa utang berjalan ditambah utang baru yang akan ditarik</w:t>
            </w:r>
          </w:p>
        </w:tc>
      </w:tr>
      <w:tr>
        <w:tc>
          <w:tcPr/>
          <w:p>
            <w:pPr>
              <w:pStyle w:val="Compact"/>
            </w:pPr>
            <w:r>
              <w:t xml:space="preserve">Rasio kemampuan keuangan daerah (DSCR)</w:t>
            </w:r>
          </w:p>
        </w:tc>
        <w:tc>
          <w:tcPr/>
          <w:p>
            <w:pPr>
              <w:pStyle w:val="Compact"/>
            </w:pPr>
            <w:r>
              <w:t xml:space="preserve">≥ 2,5</w:t>
            </w:r>
          </w:p>
        </w:tc>
        <w:tc>
          <w:tcPr/>
          <w:p>
            <w:pPr>
              <w:pStyle w:val="Compact"/>
            </w:pPr>
            <w:r>
              <w:t xml:space="preserve">Pasal 40 ayat (2) huruf b jo. ayat (4)</w:t>
            </w:r>
          </w:p>
        </w:tc>
        <w:tc>
          <w:tcPr/>
          <w:p>
            <w:pPr>
              <w:pStyle w:val="Compact"/>
            </w:pPr>
            <w:r>
              <w:t xml:space="preserve">Kemampuan pendapatan mengikat menutup cicilan pokok, bunga, dan biaya setahun</w:t>
            </w:r>
          </w:p>
        </w:tc>
      </w:tr>
      <w:tr>
        <w:tc>
          <w:tcPr/>
          <w:p>
            <w:pPr>
              <w:pStyle w:val="Compact"/>
            </w:pPr>
            <w:r>
              <w:t xml:space="preserve">Batas maksimal defisit APBD</w:t>
            </w:r>
          </w:p>
        </w:tc>
        <w:tc>
          <w:tcPr/>
          <w:p>
            <w:pPr>
              <w:pStyle w:val="Compact"/>
            </w:pPr>
            <w:r>
              <w:t xml:space="preserve">Ditetapkan ulang tiap tahun lewat PMK</w:t>
            </w:r>
          </w:p>
        </w:tc>
        <w:tc>
          <w:tcPr/>
          <w:p>
            <w:pPr>
              <w:pStyle w:val="Compact"/>
            </w:pPr>
            <w:r>
              <w:t xml:space="preserve">Pasal 40 ayat (5)–(6)</w:t>
            </w:r>
          </w:p>
        </w:tc>
        <w:tc>
          <w:tcPr/>
          <w:p>
            <w:pPr>
              <w:pStyle w:val="Compact"/>
            </w:pPr>
            <w:r>
              <w:t xml:space="preserve">Porsi defisit APBD yang boleh dibiayai dari utang pada tahun berjalan</w:t>
            </w:r>
          </w:p>
        </w:tc>
      </w:tr>
    </w:tbl>
    <w:p>
      <w:pPr>
        <w:pStyle w:val="BodyText"/>
      </w:pPr>
      <w:r>
        <w:t xml:space="preserve">Kedua angka itu masuk kelompok persyaratan keuangan, berdampingan dengan persyaratan administrasi dan kelayakan kegiatan. Lolos hitungan tidak sama dengan lolos seluruh persyaratan.</w:t>
      </w:r>
    </w:p>
    <w:p>
      <w:pPr>
        <w:pStyle w:val="BodyText"/>
      </w:pPr>
      <w:r>
        <w:t xml:space="preserve">Baris ketiga sering terlewat: batas defisit dan batas kumulatif utang daerah ditetapkan ulang setiap tahun anggaran lewat Peraturan Menteri Keuangan, dan rancangan untuk tahun anggaran 2026 sudah masuk tahap konsultasi publik di Direktorat Jenderal Perimbangan Keuangan (DJPK, 2026). Angka pembanding tahun ini belum tentu sama dengan tahun depan.</w:t>
      </w:r>
    </w:p>
    <w:bookmarkEnd w:id="20"/>
    <w:bookmarkStart w:id="22" w:name="X7e06a84593f6d16866e8b0c8e0a2589a170b36d"/>
    <w:p>
      <w:pPr>
        <w:pStyle w:val="Heading2"/>
      </w:pPr>
      <w:r>
        <w:t xml:space="preserve">Cara menghitung kapasitas pinjam daerah, langkah demi langkah</w:t>
      </w:r>
    </w:p>
    <w:p>
      <w:pPr>
        <w:pStyle w:val="FirstParagraph"/>
      </w:pPr>
      <w:r>
        <w:t xml:space="preserve">Perhitungannya berjenjang: tetapkan penerimaan umum APBD tahun sebelumnya, kalikan 75%, kurangi sisa utang berjalan, lalu uji DSCR pada skenario pinjaman baru. Dua uji itu berdiri sendiri. Sebuah daerah bisa lolos batas 75% tetapi gagal di DSCR, atau sebaliknya, dan keduanya wajib terpenuhi.</w:t>
      </w:r>
    </w:p>
    <w:p>
      <w:pPr>
        <w:pStyle w:val="BodyText"/>
      </w:pPr>
      <w:r>
        <w:t xml:space="preserve">Angka di bawah ini ilustrasi, bukan data daerah tertentu.</w:t>
      </w:r>
    </w:p>
    <w:p>
      <w:pPr>
        <w:pStyle w:val="Compact"/>
        <w:numPr>
          <w:ilvl w:val="0"/>
          <w:numId w:val="1002"/>
        </w:numPr>
      </w:pPr>
      <w:r>
        <w:rPr>
          <w:b/>
          <w:bCs/>
        </w:rPr>
        <w:t xml:space="preserve">Tentukan penerimaan umum APBD tahun sebelumnya.</w:t>
      </w:r>
      <w:r>
        <w:t xml:space="preserve"> </w:t>
      </w:r>
      <w:r>
        <w:t xml:space="preserve">Basis ini lazim dijelaskan sebagai total penerimaan APBD dikurangi pos yang penggunaannya dibatasi.</w:t>
      </w:r>
      <w:r>
        <w:t xml:space="preserve"> </w:t>
      </w:r>
      <w:r>
        <w:rPr>
          <w:i/>
          <w:iCs/>
        </w:rPr>
        <w:t xml:space="preserve">Ilustrasi: Rp 1.000 miliar.</w:t>
      </w:r>
    </w:p>
    <w:p>
      <w:pPr>
        <w:pStyle w:val="Compact"/>
        <w:numPr>
          <w:ilvl w:val="0"/>
          <w:numId w:val="1002"/>
        </w:numPr>
      </w:pPr>
      <w:r>
        <w:rPr>
          <w:b/>
          <w:bCs/>
        </w:rPr>
        <w:t xml:space="preserve">Hitung plafonnya</w:t>
      </w:r>
      <w:r>
        <w:t xml:space="preserve">, yaitu 75% dari basis tersebut.</w:t>
      </w:r>
      <w:r>
        <w:t xml:space="preserve"> </w:t>
      </w:r>
      <w:r>
        <w:rPr>
          <w:i/>
          <w:iCs/>
        </w:rPr>
        <w:t xml:space="preserve">Ilustrasi: Rp 750 miliar.</w:t>
      </w:r>
    </w:p>
    <w:p>
      <w:pPr>
        <w:pStyle w:val="Compact"/>
        <w:numPr>
          <w:ilvl w:val="0"/>
          <w:numId w:val="1002"/>
        </w:numPr>
      </w:pPr>
      <w:r>
        <w:rPr>
          <w:b/>
          <w:bCs/>
        </w:rPr>
        <w:t xml:space="preserve">Kurangi sisa Pembiayaan Utang Daerah berjalan</w:t>
      </w:r>
      <w:r>
        <w:t xml:space="preserve">, yakni saldo pokok yang belum lunas.</w:t>
      </w:r>
      <w:r>
        <w:t xml:space="preserve"> </w:t>
      </w:r>
      <w:r>
        <w:rPr>
          <w:i/>
          <w:iCs/>
        </w:rPr>
        <w:t xml:space="preserve">Ilustrasi: Rp 300 miliar.</w:t>
      </w:r>
    </w:p>
    <w:p>
      <w:pPr>
        <w:pStyle w:val="Compact"/>
        <w:numPr>
          <w:ilvl w:val="0"/>
          <w:numId w:val="1002"/>
        </w:numPr>
      </w:pPr>
      <w:r>
        <w:rPr>
          <w:b/>
          <w:bCs/>
        </w:rPr>
        <w:t xml:space="preserve">Baca ruang yang tersisa.</w:t>
      </w:r>
      <w:r>
        <w:t xml:space="preserve"> </w:t>
      </w:r>
      <w:r>
        <w:rPr>
          <w:i/>
          <w:iCs/>
        </w:rPr>
        <w:t xml:space="preserve">Ilustrasi: Rp 450 miliar</w:t>
      </w:r>
      <w:r>
        <w:t xml:space="preserve">, itulah utang baru maksimum yang lolos uji pertama.</w:t>
      </w:r>
    </w:p>
    <w:p>
      <w:pPr>
        <w:pStyle w:val="Compact"/>
        <w:numPr>
          <w:ilvl w:val="0"/>
          <w:numId w:val="1002"/>
        </w:numPr>
      </w:pPr>
      <w:r>
        <w:rPr>
          <w:b/>
          <w:bCs/>
        </w:rPr>
        <w:t xml:space="preserve">Uji DSCR pada skenario pinjaman itu.</w:t>
      </w:r>
      <w:r>
        <w:t xml:space="preserve"> </w:t>
      </w:r>
      <w:r>
        <w:t xml:space="preserve">Hasilnya wajib paling sedikit 2,5.</w:t>
      </w:r>
    </w:p>
    <w:p>
      <w:pPr>
        <w:pStyle w:val="FirstParagraph"/>
      </w:pPr>
      <w:r>
        <w:t xml:space="preserve">DSCR perlu diperlakukan hati-hati. Ambangnya pasti; komposisi rincinya tidak sepasti itu. Susunan yang lazim dijelaskan berbagai rujukan adalah pendapatan daerah yang relatif mengikat dikurangi belanja wajib, dibagi total kewajiban pokok, bunga, dan biaya pinjaman setahun. Perlakukan itu sebagai praktik perhitungan yang umum dipakai, bukan kutipan bunyi pasal. Uji kemampuan bayar pemerintah sub-nasional semacam ini bukan kekhasan Indonesia; ia bagian baku dari</w:t>
      </w:r>
      <w:r>
        <w:t xml:space="preserve"> </w:t>
      </w:r>
      <w:hyperlink r:id="rId21">
        <w:r>
          <w:rPr>
            <w:rStyle w:val="Hyperlink"/>
          </w:rPr>
          <w:t xml:space="preserve">standar public private partnership internasional</w:t>
        </w:r>
      </w:hyperlink>
      <w:r>
        <w:t xml:space="preserve">.</w:t>
      </w:r>
    </w:p>
    <w:bookmarkEnd w:id="22"/>
    <w:bookmarkStart w:id="25" w:name="X60f069fc21f82d070342ccb89468e93c512700e"/>
    <w:p>
      <w:pPr>
        <w:pStyle w:val="Heading2"/>
      </w:pPr>
      <w:r>
        <w:t xml:space="preserve">Komitmen yang tidak dihitung sebagai utang, tetapi tetap mengikat APBD</w:t>
      </w:r>
    </w:p>
    <w:p>
      <w:pPr>
        <w:pStyle w:val="FirstParagraph"/>
      </w:pPr>
      <w:r>
        <w:t xml:space="preserve">Secara konseptual, kewajiban</w:t>
      </w:r>
      <w:r>
        <w:t xml:space="preserve"> </w:t>
      </w:r>
      <w:r>
        <w:rPr>
          <w:i/>
          <w:iCs/>
        </w:rPr>
        <w:t xml:space="preserve">Availability Payment</w:t>
      </w:r>
      <w:r>
        <w:t xml:space="preserve"> </w:t>
      </w:r>
      <w:r>
        <w:t xml:space="preserve">dalam kontrak KPBU bukan Pembiayaan Utang Daerah: daerah tidak menerima uang di muka yang harus dikembalikan, melainkan membayar berkala atas layanan yang tersedia. Kewajiban itu tidak memakan plafon 75%, tetapi mengunci pagu belanja APBD sepanjang masa kontrak.</w:t>
      </w:r>
    </w:p>
    <w:p>
      <w:pPr>
        <w:pStyle w:val="BodyText"/>
      </w:pPr>
      <w:r>
        <w:t xml:space="preserve">Portal KPBU Kementerian Keuangan mendefinisikan</w:t>
      </w:r>
      <w:r>
        <w:t xml:space="preserve"> </w:t>
      </w:r>
      <w:hyperlink r:id="rId23">
        <w:r>
          <w:rPr>
            <w:rStyle w:val="Hyperlink"/>
          </w:rPr>
          <w:t xml:space="preserve">Availability Payment</w:t>
        </w:r>
      </w:hyperlink>
      <w:r>
        <w:t xml:space="preserve"> </w:t>
      </w:r>
      <w:r>
        <w:t xml:space="preserve">sebagai pembayaran berkala atas tersedianya layanan infrastruktur yang sesuai kualitas dan kriteria dalam Perjanjian KPBU. Pada proyek daerah, pembayarnya adalah kepala daerah selaku PJPK (</w:t>
      </w:r>
      <w:r>
        <w:rPr>
          <w:i/>
          <w:iCs/>
        </w:rPr>
        <w:t xml:space="preserve">Penanggung Jawab Proyek Kerja Sama</w:t>
      </w:r>
      <w:r>
        <w:t xml:space="preserve">).</w:t>
      </w:r>
    </w:p>
    <w:p>
      <w:pPr>
        <w:pStyle w:val="BodyText"/>
      </w:pPr>
      <w:r>
        <w:t xml:space="preserve">Di sinilah kejujuran perlu dijaga. Kesimpulan itu adalah pembacaan atas definisi Pasal 1 PP No. 1 Tahun 2024, bukan klausul pengecualian yang tertulis tegas; penelusuran atas PP tersebut, PP No. 12 Tahun 2019, dan Permendagri No. 77 Tahun 2020 tidak menemukan pasal yang menyatakannya eksplisit. Perlakuan definitifnya perlu dikonfirmasi ke pedoman teknis yang berlaku.</w:t>
      </w:r>
    </w:p>
    <w:p>
      <w:pPr>
        <w:pStyle w:val="BodyText"/>
      </w:pPr>
      <w:r>
        <w:t xml:space="preserve">Yang pasti mengikat adalah mekanisme kontrak tahun jamaknya. Sejak PP No. 12 Tahun 2019 dan Permendagri No. 77 Tahun 2020,</w:t>
      </w:r>
      <w:r>
        <w:t xml:space="preserve"> </w:t>
      </w:r>
      <w:hyperlink r:id="rId24">
        <w:r>
          <w:rPr>
            <w:rStyle w:val="Hyperlink"/>
          </w:rPr>
          <w:t xml:space="preserve">komitmen jangka panjang dalam kontrak KPBU</w:t>
        </w:r>
      </w:hyperlink>
      <w:r>
        <w:t xml:space="preserve"> </w:t>
      </w:r>
      <w:r>
        <w:t xml:space="preserve">di daerah lazim disyaratkan berpayung Perda kegiatan tahun jamak dan kesepakatan bersama kepala daerah dengan DPRD.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Pinjaman / Obligasi Daerah</w:t>
            </w:r>
          </w:p>
        </w:tc>
        <w:tc>
          <w:tcPr/>
          <w:p>
            <w:pPr>
              <w:pStyle w:val="Compact"/>
            </w:pPr>
            <w:r>
              <w:t xml:space="preserve">Komitmen Availability Payment</w:t>
            </w:r>
          </w:p>
        </w:tc>
      </w:tr>
      <w:tr>
        <w:tc>
          <w:tcPr/>
          <w:p>
            <w:pPr>
              <w:pStyle w:val="Compact"/>
            </w:pPr>
            <w:r>
              <w:t xml:space="preserve">Arah uang</w:t>
            </w:r>
          </w:p>
        </w:tc>
        <w:tc>
          <w:tcPr/>
          <w:p>
            <w:pPr>
              <w:pStyle w:val="Compact"/>
            </w:pPr>
            <w:r>
              <w:t xml:space="preserve">Daerah menerima dana yang harus dibayar kembali (Pasal 1 angka 18–19)</w:t>
            </w:r>
          </w:p>
        </w:tc>
        <w:tc>
          <w:tcPr/>
          <w:p>
            <w:pPr>
              <w:pStyle w:val="Compact"/>
            </w:pPr>
            <w:r>
              <w:t xml:space="preserve">Daerah membayar berkala atas layanan yang tersedia</w:t>
            </w:r>
          </w:p>
        </w:tc>
      </w:tr>
      <w:tr>
        <w:tc>
          <w:tcPr/>
          <w:p>
            <w:pPr>
              <w:pStyle w:val="Compact"/>
            </w:pPr>
            <w:r>
              <w:t xml:space="preserve">Masuk uji 75% dan DSCR?</w:t>
            </w:r>
          </w:p>
        </w:tc>
        <w:tc>
          <w:tcPr/>
          <w:p>
            <w:pPr>
              <w:pStyle w:val="Compact"/>
            </w:pPr>
            <w:r>
              <w:t xml:space="preserve">Ya</w:t>
            </w:r>
          </w:p>
        </w:tc>
        <w:tc>
          <w:tcPr/>
          <w:p>
            <w:pPr>
              <w:pStyle w:val="Compact"/>
            </w:pPr>
            <w:r>
              <w:t xml:space="preserve">Tidak, menurut pembacaan definisi Pasal 1, bukan klausul pengecualian eksplisit</w:t>
            </w:r>
          </w:p>
        </w:tc>
      </w:tr>
      <w:tr>
        <w:tc>
          <w:tcPr/>
          <w:p>
            <w:pPr>
              <w:pStyle w:val="Compact"/>
            </w:pPr>
            <w:r>
              <w:t xml:space="preserve">Pengikat</w:t>
            </w:r>
          </w:p>
        </w:tc>
        <w:tc>
          <w:tcPr/>
          <w:p>
            <w:pPr>
              <w:pStyle w:val="Compact"/>
            </w:pPr>
            <w:r>
              <w:t xml:space="preserve">Perjanjian pinjaman atau surat berharga, BAB III PP No. 1 Tahun 2024</w:t>
            </w:r>
          </w:p>
        </w:tc>
        <w:tc>
          <w:tcPr/>
          <w:p>
            <w:pPr>
              <w:pStyle w:val="Compact"/>
            </w:pPr>
            <w:r>
              <w:t xml:space="preserve">Perjanjian KPBU ditambah kontrak tahun jamak</w:t>
            </w:r>
          </w:p>
        </w:tc>
      </w:tr>
      <w:tr>
        <w:tc>
          <w:tcPr/>
          <w:p>
            <w:pPr>
              <w:pStyle w:val="Compact"/>
            </w:pPr>
            <w:r>
              <w:t xml:space="preserve">Dampak fiskal</w:t>
            </w:r>
          </w:p>
        </w:tc>
        <w:tc>
          <w:tcPr/>
          <w:p>
            <w:pPr>
              <w:pStyle w:val="Compact"/>
            </w:pPr>
            <w:r>
              <w:t xml:space="preserve">Menggerus sisa ruang di bawah plafon 75% sampai lunas</w:t>
            </w:r>
          </w:p>
        </w:tc>
        <w:tc>
          <w:tcPr/>
          <w:p>
            <w:pPr>
              <w:pStyle w:val="Compact"/>
            </w:pPr>
            <w:r>
              <w:t xml:space="preserve">Mengunci pagu belanja tahunan sampai kontrak berakhir</w:t>
            </w:r>
          </w:p>
        </w:tc>
      </w:tr>
    </w:tbl>
    <w:p>
      <w:pPr>
        <w:pStyle w:val="BodyText"/>
      </w:pPr>
      <w:r>
        <w:t xml:space="preserve">Dua daerah dengan rasio utang identik karena itu bisa punya ruang gerak yang jauh berbeda. Dalam pendampingan penyiapan proyek KPBU daerah, penilaian kemampuan fiskal PJPK adalah pekerjaan rutin PT PII selaku penjamin, dan itu berbeda dari pemberian pinjaman. PT SMI dan PT IIF menyalurkan pembiayaan kepada daerah; peran penjamin bukan itu.</w:t>
      </w:r>
    </w:p>
    <w:bookmarkEnd w:id="25"/>
    <w:bookmarkStart w:id="27" w:name="X335113a6a03842d4902a3e6dc9998a5a5b8745a"/>
    <w:p>
      <w:pPr>
        <w:pStyle w:val="Heading2"/>
      </w:pPr>
      <w:r>
        <w:t xml:space="preserve">Lolos ambang bukan berarti layak berutang</w:t>
      </w:r>
    </w:p>
    <w:p>
      <w:pPr>
        <w:pStyle w:val="FirstParagraph"/>
      </w:pPr>
      <w:r>
        <w:t xml:space="preserve">Batas 75% dan DSCR 2,5 adalah lantai hukum, bukan target dan bukan penilaian kelayakan proyek. Memenuhi keduanya tidak menjamin ada pemberi pinjaman atau investor yang masuk, dan tidak membuat pendanaan menjadi pasti. Persetujuan kelembagaan serta uji tujuan penggunaan dana masih menunggu di depan.</w:t>
      </w:r>
    </w:p>
    <w:p>
      <w:pPr>
        <w:pStyle w:val="BodyText"/>
      </w:pPr>
      <w:r>
        <w:t xml:space="preserve">Pasal 39 mewajibkan daerah menetapkan nilai bersih maksimal Pembiayaan Utang Daerah setiap tahun, dan angka itu harus disetujui bersama DPRD dalam pembahasan APBD. Pasal 44 membatasi sumbernya: Pemerintah, pemerintah daerah lain, lembaga keuangan bank, atau lembaga keuangan bukan bank.</w:t>
      </w:r>
    </w:p>
    <w:p>
      <w:pPr>
        <w:pStyle w:val="BodyText"/>
      </w:pPr>
      <w:r>
        <w:t xml:space="preserve">Bila tenornya melewati sisa masa jabatan kepala daerah, jalur pemeriksaannya bertambah. Pasal 41 mengatur penilaian lintas kementerian dengan tenggat 15 hari kerja dan ketentuan persetujuan dianggap diberikan bila tenggat itu terlampaui. Rujukan yang beredar menyebut Kementerian Keuangan, Kementerian Dalam Negeri, serta Kementerian PPN/Bappenas sebagai pemberi pertimbangan, meski rincian itu tidak terbaca langsung dari bunyi pasalnya.</w:t>
      </w:r>
    </w:p>
    <w:p>
      <w:pPr>
        <w:pStyle w:val="BodyText"/>
      </w:pPr>
      <w:r>
        <w:t xml:space="preserve">Ada lapis penilaian lain. Peta Kapasitas Fiskal Daerah dalam PMK No. 97 Tahun 2025 mengelompokkan daerah ke lima kategori, dari Sangat Tinggi hingga Sangat Rendah, dan menjadi salah satu pertimbangan pemberian Pembiayaan Utang Daerah.</w:t>
      </w:r>
    </w:p>
    <w:p>
      <w:pPr>
        <w:pStyle w:val="BodyText"/>
      </w:pPr>
      <w:r>
        <w:t xml:space="preserve">Pengingat terakhir bersifat terikat waktu. Hingga September 2026, belum ada satu pun pemerintah daerah di Indonesia yang menerbitkan obligasi daerah maupun mengajukan pernyataan pendaftaran ke Otoritas Jasa Keuangan. Rencana paling maju, obligasi DKI Jakarta senilai Rp 3,5 triliun, baru menargetkan Juni 2027 (</w:t>
      </w:r>
      <w:hyperlink r:id="rId26">
        <w:r>
          <w:rPr>
            <w:rStyle w:val="Hyperlink"/>
          </w:rPr>
          <w:t xml:space="preserve">BPKD Provinsi DKI Jakarta</w:t>
        </w:r>
      </w:hyperlink>
      <w:r>
        <w:t xml:space="preserve">, 22 Juli 2026). Itu target, bukan capaian. Instrumen yang tersedia secara hukum belum tentu tersedia dalam praktik.</w:t>
      </w:r>
    </w:p>
    <w:bookmarkEnd w:id="27"/>
    <w:bookmarkStart w:id="34" w:name="faq-pertanyaan-yang-sering-diajukan"/>
    <w:p>
      <w:pPr>
        <w:pStyle w:val="Heading2"/>
      </w:pPr>
      <w:r>
        <w:t xml:space="preserve">FAQ (Pertanyaan yang Sering Diajukan)</w:t>
      </w:r>
    </w:p>
    <w:bookmarkStart w:id="28" w:name="berapa-batas-maksimal-pinjaman-daerah"/>
    <w:p>
      <w:pPr>
        <w:pStyle w:val="Heading3"/>
      </w:pPr>
      <w:r>
        <w:t xml:space="preserve">Berapa batas maksimal pinjaman daerah?</w:t>
      </w:r>
    </w:p>
    <w:p>
      <w:pPr>
        <w:pStyle w:val="FirstParagraph"/>
      </w:pPr>
      <w:r>
        <w:t xml:space="preserve">Menurut Pasal 40 PP No. 1 Tahun 2024, sisa Pembiayaan Utang Daerah ditambah pinjaman baru yang akan ditarik tidak boleh melebihi 75% penerimaan umum APBD tahun sebelumnya. Ketentuan ini berlaku sejak PP tersebut diundangkan 2 Januari 2024, menggantikan PP No. 56 Tahun 2018.</w:t>
      </w:r>
    </w:p>
    <w:bookmarkEnd w:id="28"/>
    <w:bookmarkStart w:id="29" w:name="apa-itu-dscr-dan-berapa-nilai-minimalnya"/>
    <w:p>
      <w:pPr>
        <w:pStyle w:val="Heading3"/>
      </w:pPr>
      <w:r>
        <w:t xml:space="preserve">Apa itu DSCR dan berapa nilai minimalnya?</w:t>
      </w:r>
    </w:p>
    <w:p>
      <w:pPr>
        <w:pStyle w:val="FirstParagraph"/>
      </w:pPr>
      <w:r>
        <w:t xml:space="preserve">DSCR (</w:t>
      </w:r>
      <w:r>
        <w:rPr>
          <w:i/>
          <w:iCs/>
        </w:rPr>
        <w:t xml:space="preserve">Debt Service Coverage Ratio</w:t>
      </w:r>
      <w:r>
        <w:t xml:space="preserve">) adalah rasio kemampuan keuangan daerah mengembalikan Pembiayaan Utang Daerah, dan Pasal 40 ayat (4) PP No. 1 Tahun 2024 menetapkannya paling sedikit 2,5. Komposisi rincinya lazim dijelaskan sebagai pendapatan mengikat dikurangi belanja wajib, dibagi total cicilan pokok, bunga, dan biaya pinjaman setahun; perlakukan itu sebagai praktik perhitungan yang umum, bukan bunyi ayat.</w:t>
      </w:r>
    </w:p>
    <w:bookmarkEnd w:id="29"/>
    <w:bookmarkStart w:id="30" w:name="apa-yang-dimaksud-penerimaan-umum-apbd"/>
    <w:p>
      <w:pPr>
        <w:pStyle w:val="Heading3"/>
      </w:pPr>
      <w:r>
        <w:t xml:space="preserve">Apa yang dimaksud penerimaan umum APBD?</w:t>
      </w:r>
    </w:p>
    <w:p>
      <w:pPr>
        <w:pStyle w:val="FirstParagraph"/>
      </w:pPr>
      <w:r>
        <w:t xml:space="preserve">Penerimaan umum Anggaran Pendapatan dan Belanja Daerah (APBD) tahun sebelumnya adalah basis perhitungan batas 75%. Rujukan yang beredar konsisten menjelaskannya sebagai seluruh penerimaan APBD di luar Dana Alokasi Khusus, dana darurat, dana pinjaman lama, dan penerimaan yang penggunaannya dibatasi. Definisi teknisnya sebaiknya dikonfirmasi ke peraturan pelaksana sebelum dipakai untuk perhitungan resmi.</w:t>
      </w:r>
    </w:p>
    <w:bookmarkEnd w:id="30"/>
    <w:bookmarkStart w:id="31" w:name="Xf166b96434761016f2921d118e5f942aa7eb8ac"/>
    <w:p>
      <w:pPr>
        <w:pStyle w:val="Heading3"/>
      </w:pPr>
      <w:r>
        <w:t xml:space="preserve">Peraturan apa yang mengatur pinjaman daerah saat ini?</w:t>
      </w:r>
    </w:p>
    <w:p>
      <w:pPr>
        <w:pStyle w:val="FirstParagraph"/>
      </w:pPr>
      <w:r>
        <w:t xml:space="preserve">Payung yang berlaku adalah PP No. 1 Tahun 2024 tentang Harmonisasi Kebijakan Fiskal Nasional, diundangkan 2 Januari 2024, yang mencabut PP No. 56 Tahun 2018 dan berpijak pada UU No. 1 Tahun 2022 tentang HKPD. Rujuk PP ini langsung, bukan halaman portal yang belum diperbarui.</w:t>
      </w:r>
    </w:p>
    <w:bookmarkEnd w:id="31"/>
    <w:bookmarkStart w:id="32" w:name="Xf9b7a7db12ebacb109c5367e767689508301e92"/>
    <w:p>
      <w:pPr>
        <w:pStyle w:val="Heading3"/>
      </w:pPr>
      <w:r>
        <w:t xml:space="preserve">Apakah kewajiban Availability Payment dihitung sebagai utang daerah?</w:t>
      </w:r>
    </w:p>
    <w:p>
      <w:pPr>
        <w:pStyle w:val="FirstParagraph"/>
      </w:pPr>
      <w:r>
        <w:t xml:space="preserve">Secara konseptual tidak. Pembiayaan Utang Daerah menurut Pasal 1 PP No. 1 Tahun 2024 adalah penerimaan daerah yang harus dibayar kembali, sedangkan Availability Payment adalah pembayaran berkala atas layanan yang tersedia. Klausul pengecualian eksplisitnya tidak ditemukan, dan kewajiban ini tetap mengunci ruang belanja APBD lewat kontrak tahun jamak.</w:t>
      </w:r>
    </w:p>
    <w:bookmarkEnd w:id="32"/>
    <w:bookmarkStart w:id="33" w:name="X58fb03ee756e957edfc5f248450f70eaf507458"/>
    <w:p>
      <w:pPr>
        <w:pStyle w:val="Heading3"/>
      </w:pPr>
      <w:r>
        <w:t xml:space="preserve">Sudah adakah daerah yang menerbitkan obligasi daerah?</w:t>
      </w:r>
    </w:p>
    <w:p>
      <w:pPr>
        <w:pStyle w:val="FirstParagraph"/>
      </w:pPr>
      <w:r>
        <w:t xml:space="preserve">Hingga September 2026, belum ada pemerintah daerah di Indonesia yang menerbitkan obligasi daerah atau menyampaikan pernyataan pendaftaran ke Otoritas Jasa Keuangan. Rencana paling maju datang dari DKI Jakarta senilai Rp 3,5 triliun, dengan target penerbitan yang kini dinyatakan Juni 2027 (BPKD Provinsi DKI Jakarta, 22 Juli 2026).</w:t>
      </w:r>
    </w:p>
    <w:bookmarkEnd w:id="33"/>
    <w:bookmarkEnd w:id="34"/>
    <w:bookmarkStart w:id="35" w:name="kesimpulan"/>
    <w:p>
      <w:pPr>
        <w:pStyle w:val="Heading2"/>
      </w:pPr>
      <w:r>
        <w:t xml:space="preserve">Kesimpulan</w:t>
      </w:r>
    </w:p>
    <w:p>
      <w:pPr>
        <w:pStyle w:val="FirstParagraph"/>
      </w:pPr>
      <w:r>
        <w:t xml:space="preserve">Kembali ke pertanyaan di ruang rapat tadi.</w:t>
      </w:r>
      <w:r>
        <w:t xml:space="preserve"> </w:t>
      </w:r>
      <w:r>
        <w:t xml:space="preserve">“Aman atau tidak”</w:t>
      </w:r>
      <w:r>
        <w:t xml:space="preserve"> </w:t>
      </w:r>
      <w:r>
        <w:t xml:space="preserve">bisa dijawab dengan dua hitungan dan satu daftar komitmen yang telanjur terikat: batas 75% dan DSCR 2,5 menutup sisi utang, kontrak tahun jamak menutup sisi belanja yang sudah dikunci. PT PII, Badan Usaha Penjaminan Infrastruktur di bawah Kementerian Keuangan, menjamin risiko sisi pemerintah dalam kontrak dan tidak meminjamkan dana kepada daerah; portofolionya 61 proyek, 38 berskema KPBU, bernilai proyek lebih dari Rp 732 triliun per Juni 2026. Diskusi paling berguna justru dimulai saat angka APBD itu belum rapi.</w:t>
      </w:r>
    </w:p>
    <w:p>
      <w:pPr>
        <w:pStyle w:val="BodyText"/>
      </w:pPr>
      <w:r>
        <w:t xml:space="preserve">Skema pembiayaan kreatif untuk infrastruktur daerah beserta cakupan penjaminannya dapat ditelusuri lebih jauh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6" Target="https://bpkd.jakarta.go.id/artikel/detail/903" TargetMode="External" /><Relationship Type="http://schemas.openxmlformats.org/officeDocument/2006/relationships/hyperlink" Id="rId23" Target="https://kpbu.kemenkeu.go.id/read/1095-1258/pjpk/pembayaran-kepada-badan-usaha/pembayaran-ketersediaan-layanan" TargetMode="External" /><Relationship Type="http://schemas.openxmlformats.org/officeDocument/2006/relationships/hyperlink" Id="rId18" Target="https://peraturan.go.id/id/pp-no-1-tahun-2024" TargetMode="External" /><Relationship Type="http://schemas.openxmlformats.org/officeDocument/2006/relationships/hyperlink" Id="rId24"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6" Target="https://bpkd.jakarta.go.id/artikel/detail/903" TargetMode="External" /><Relationship Type="http://schemas.openxmlformats.org/officeDocument/2006/relationships/hyperlink" Id="rId23" Target="https://kpbu.kemenkeu.go.id/read/1095-1258/pjpk/pembayaran-kepada-badan-usaha/pembayaran-ketersediaan-layanan" TargetMode="External" /><Relationship Type="http://schemas.openxmlformats.org/officeDocument/2006/relationships/hyperlink" Id="rId18" Target="https://peraturan.go.id/id/pp-no-1-tahun-2024" TargetMode="External" /><Relationship Type="http://schemas.openxmlformats.org/officeDocument/2006/relationships/hyperlink" Id="rId24"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2026-09-22T01:19:52Z</dcterms:created>
  <dcterms:modified xsi:type="dcterms:W3CDTF">2026-09-22T01:19:52Z</dcterms:modified>
</cp:coreProperties>
</file>

<file path=docProps/custom.xml><?xml version="1.0" encoding="utf-8"?>
<Properties xmlns="http://schemas.openxmlformats.org/officeDocument/2006/custom-properties" xmlns:vt="http://schemas.openxmlformats.org/officeDocument/2006/docPropsVTypes"/>
</file>