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"Pembiayaan Kreatif per Sektor: Instrumen Mana yang Cocok"</w:t>
      </w:r>
      <w:r>
        <w:br/>
      </w:r>
      <w:r>
        <w:rPr>
          <w:rStyle w:val="FunctionTok"/>
        </w:rPr>
        <w:t xml:space="preserve">meta_title</w:t>
      </w:r>
      <w:r>
        <w:rPr>
          <w:rStyle w:val="KeywordTok"/>
        </w:rPr>
        <w:t xml:space="preserve">:</w:t>
      </w:r>
      <w:r>
        <w:rPr>
          <w:rStyle w:val="AttributeTok"/>
        </w:rPr>
        <w:t xml:space="preserve"> </w:t>
      </w:r>
      <w:r>
        <w:rPr>
          <w:rStyle w:val="StringTok"/>
        </w:rPr>
        <w:t xml:space="preserve">"Pembiayaan Kreatif per Sektor: Instrumen Mana yang Cocok"</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pembiayaan kreatif per sektor untuk pemda: matriks air minum, persampahan, PJU, dan jalan daerah, plus kapan proyek sebaiknya tetap dibiayai APBD."</w:t>
      </w:r>
      <w:r>
        <w:br/>
      </w:r>
      <w:r>
        <w:rPr>
          <w:rStyle w:val="FunctionTok"/>
        </w:rPr>
        <w:t xml:space="preserve">slug</w:t>
      </w:r>
      <w:r>
        <w:rPr>
          <w:rStyle w:val="KeywordTok"/>
        </w:rPr>
        <w:t xml:space="preserve">:</w:t>
      </w:r>
      <w:r>
        <w:rPr>
          <w:rStyle w:val="AttributeTok"/>
        </w:rPr>
        <w:t xml:space="preserve"> </w:t>
      </w:r>
      <w:r>
        <w:rPr>
          <w:rStyle w:val="StringTok"/>
        </w:rPr>
        <w:t xml:space="preserve">"pembiayaan-kreatif-instrumen-per-sektor"</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"Pembiayaan Kreatif"</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"pemilihan instrumen pembiayaan"</w:t>
      </w:r>
      <w:r>
        <w:rPr>
          <w:rStyle w:val="KeywordTok"/>
        </w:rPr>
        <w:t xml:space="preserve">,</w:t>
      </w:r>
      <w:r>
        <w:rPr>
          <w:rStyle w:val="AttributeTok"/>
        </w:rPr>
        <w:t xml:space="preserve"> </w:t>
      </w:r>
      <w:r>
        <w:rPr>
          <w:rStyle w:val="StringTok"/>
        </w:rPr>
        <w:t xml:space="preserve">"KPBU daerah"</w:t>
      </w:r>
      <w:r>
        <w:rPr>
          <w:rStyle w:val="KeywordTok"/>
        </w:rPr>
        <w:t xml:space="preserve">,</w:t>
      </w:r>
      <w:r>
        <w:rPr>
          <w:rStyle w:val="AttributeTok"/>
        </w:rPr>
        <w:t xml:space="preserve"> </w:t>
      </w:r>
      <w:r>
        <w:rPr>
          <w:rStyle w:val="StringTok"/>
        </w:rPr>
        <w:t xml:space="preserve">"SPAM air minum daerah"</w:t>
      </w:r>
      <w:r>
        <w:rPr>
          <w:rStyle w:val="KeywordTok"/>
        </w:rPr>
        <w:t xml:space="preserve">,</w:t>
      </w:r>
      <w:r>
        <w:rPr>
          <w:rStyle w:val="AttributeTok"/>
        </w:rPr>
        <w:t xml:space="preserve"> </w:t>
      </w:r>
      <w:r>
        <w:rPr>
          <w:rStyle w:val="StringTok"/>
        </w:rPr>
        <w:t xml:space="preserve">"persampahan PSEL"</w:t>
      </w:r>
      <w:r>
        <w:rPr>
          <w:rStyle w:val="KeywordTok"/>
        </w:rPr>
        <w:t xml:space="preserve">,</w:t>
      </w:r>
      <w:r>
        <w:rPr>
          <w:rStyle w:val="AttributeTok"/>
        </w:rPr>
        <w:t xml:space="preserve"> </w:t>
      </w:r>
      <w:r>
        <w:rPr>
          <w:rStyle w:val="StringTok"/>
        </w:rPr>
        <w:t xml:space="preserve">"penerangan jalan umum APJ"</w:t>
      </w:r>
      <w:r>
        <w:rPr>
          <w:rStyle w:val="KeywordTok"/>
        </w:rPr>
        <w:t xml:space="preserve">,</w:t>
      </w:r>
      <w:r>
        <w:rPr>
          <w:rStyle w:val="AttributeTok"/>
        </w:rPr>
        <w:t xml:space="preserve"> </w:t>
      </w:r>
      <w:r>
        <w:rPr>
          <w:rStyle w:val="StringTok"/>
        </w:rPr>
        <w:t xml:space="preserve">"jalan daerah"</w:t>
      </w:r>
      <w:r>
        <w:rPr>
          <w:rStyle w:val="KeywordTok"/>
        </w:rPr>
        <w:t xml:space="preserve">,</w:t>
      </w:r>
      <w:r>
        <w:rPr>
          <w:rStyle w:val="AttributeTok"/>
        </w:rPr>
        <w:t xml:space="preserve"> </w:t>
      </w:r>
      <w:r>
        <w:rPr>
          <w:rStyle w:val="StringTok"/>
        </w:rPr>
        <w:t xml:space="preserve">"skema pengembalian investasi"</w:t>
      </w:r>
      <w:r>
        <w:rPr>
          <w:rStyle w:val="KeywordTok"/>
        </w:rPr>
        <w:t xml:space="preserve">,</w:t>
      </w:r>
      <w:r>
        <w:rPr>
          <w:rStyle w:val="AttributeTok"/>
        </w:rPr>
        <w:t xml:space="preserve"> </w:t>
      </w:r>
      <w:r>
        <w:rPr>
          <w:rStyle w:val="StringTok"/>
        </w:rPr>
        <w:t xml:space="preserve">"user charge"</w:t>
      </w:r>
      <w:r>
        <w:rPr>
          <w:rStyle w:val="KeywordTok"/>
        </w:rPr>
        <w:t xml:space="preserve">,</w:t>
      </w:r>
      <w:r>
        <w:rPr>
          <w:rStyle w:val="AttributeTok"/>
        </w:rPr>
        <w:t xml:space="preserve"> </w:t>
      </w:r>
      <w:r>
        <w:rPr>
          <w:rStyle w:val="StringTok"/>
        </w:rPr>
        <w:t xml:space="preserve">"Availability Payment"</w:t>
      </w:r>
      <w:r>
        <w:rPr>
          <w:rStyle w:val="KeywordTok"/>
        </w:rPr>
        <w:t xml:space="preserve">,</w:t>
      </w:r>
      <w:r>
        <w:rPr>
          <w:rStyle w:val="AttributeTok"/>
        </w:rPr>
        <w:t xml:space="preserve"> </w:t>
      </w:r>
      <w:r>
        <w:rPr>
          <w:rStyle w:val="StringTok"/>
        </w:rPr>
        <w:t xml:space="preserve">"kerja sama pemanfaatan aset"</w:t>
      </w:r>
      <w:r>
        <w:rPr>
          <w:rStyle w:val="KeywordTok"/>
        </w:rPr>
        <w:t xml:space="preserve">,</w:t>
      </w:r>
      <w:r>
        <w:rPr>
          <w:rStyle w:val="AttributeTok"/>
        </w:rPr>
        <w:t xml:space="preserve"> </w:t>
      </w:r>
      <w:r>
        <w:rPr>
          <w:rStyle w:val="StringTok"/>
        </w:rPr>
        <w:t xml:space="preserve">"tarif full cost recovery"</w:t>
      </w:r>
      <w:r>
        <w:rPr>
          <w:rStyle w:val="KeywordTok"/>
        </w:rPr>
        <w:t xml:space="preserve">,</w:t>
      </w:r>
      <w:r>
        <w:rPr>
          <w:rStyle w:val="AttributeTok"/>
        </w:rPr>
        <w:t xml:space="preserve"> </w:t>
      </w:r>
      <w:r>
        <w:rPr>
          <w:rStyle w:val="StringTok"/>
        </w:rPr>
        <w:t xml:space="preserve">"APBD"</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"https://www.ptpii.co.id/pembiayaan-kreatif"</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"pembiayaan kreatif untuk proyek sektoral daerah"</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"https://www.ptpii.co.id/kpbu"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"struktur proyek KPBU per sektor"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"https://www.ptpii.co.id/public-private-partnership"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"public private partnership di sektor air dan persampahan"</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"https://kpbu.kemenkeu.go.id/read/16-13/pjpk/persyaratan-proyek"</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"Tiga mekanisme pengembalian investasi KPBU dan ketiadaan ambang nilai minimal proyek"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"https://www.pu.go.id/berita/kementerian-pu-dorong-pemda-kerja-sama-dengan-swasta-untuk-percepat-akses-air-bersih"</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"Dari 394 BUMD Air Minum nasional, hanya 19 memenuhi syarat kerja sama dengan swasta (13 Maret 2025)"</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"https://pasal.id/peraturan/uu/uu-no-23-tahun-2014/pasal-12"</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"Pembagian urusan pemerintahan konkuren yang menentukan sektor kewenangan daerah"</w:t>
      </w:r>
      <w:r>
        <w:br/>
      </w:r>
      <w:r>
        <w:rPr>
          <w:rStyle w:val="FunctionTok"/>
        </w:rPr>
        <w:t xml:space="preserve">brief_id</w:t>
      </w:r>
      <w:r>
        <w:rPr>
          <w:rStyle w:val="KeywordTok"/>
        </w:rPr>
        <w:t xml:space="preserve">:</w:t>
      </w:r>
      <w:r>
        <w:rPr>
          <w:rStyle w:val="AttributeTok"/>
        </w:rPr>
        <w:t xml:space="preserve"> </w:t>
      </w:r>
      <w:r>
        <w:rPr>
          <w:rStyle w:val="StringTok"/>
        </w:rPr>
        <w:t xml:space="preserve">"pembiayaan-kreatif-03"</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1755</w:t>
      </w:r>
    </w:p>
    <w:p>
      <w:r>
        <w:pict>
          <v:rect style="width:0;height:1.5pt" o:hralign="center" o:hrstd="t" o:hr="t"/>
        </w:pict>
      </w:r>
    </w:p>
    <w:bookmarkEnd w:id="16"/>
    <w:bookmarkStart w:id="36" w:name="X952d9ceb952e3b914a8f25b6aceb9bf07cf58fd"/>
    <w:p>
      <w:pPr>
        <w:pStyle w:val="Heading1"/>
      </w:pPr>
      <w:r>
        <w:t xml:space="preserve">Pembiayaan Kreatif per Sektor: Instrumen Mana yang Cocok</w:t>
      </w:r>
    </w:p>
    <w:p>
      <w:pPr>
        <w:pStyle w:val="FirstParagraph"/>
      </w:pPr>
      <w:r>
        <w:t xml:space="preserve">Pola yang sering ditemui di meja penyiapan proyek daerah: dua usulan masuk pada tahun anggaran yang sama, penerangan jalan umum dan perluasan jaringan air minum, keduanya memakai skema yang sama karena APBD sama-sama tidak cukup. Satu sampai ke kontrak. Satu tersendat di pembahasan tarif. Yang membedakan bukan mutu dokumen penyiapannya, melainkan sektornya. Pilihan</w:t>
      </w:r>
      <w:r>
        <w:t xml:space="preserve"> </w:t>
      </w:r>
      <w:hyperlink r:id="rId17">
        <w:r>
          <w:rPr>
            <w:rStyle w:val="Hyperlink"/>
          </w:rPr>
          <w:t xml:space="preserve">pembiayaan kreatif untuk proyek sektoral daerah</w:t>
        </w:r>
      </w:hyperlink>
      <w:r>
        <w:t xml:space="preserve">, yaitu pendanaan infrastruktur pemerintah daerah di luar APBD murni termasuk KPBU berskala kabupaten, digerakkan satu variabel: bisakah proyek menagih penggunanya, dan cukupkah tagihan itu menutup biaya?</w:t>
      </w:r>
    </w:p>
    <w:p>
      <w:pPr>
        <w:pStyle w:val="BlockText"/>
      </w:pPr>
      <w:r>
        <w:rPr>
          <w:b/>
          <w:bCs/>
        </w:rPr>
        <w:t xml:space="preserve">Ringkasnya:</w:t>
      </w:r>
      <w:r>
        <w:t xml:space="preserve"> </w:t>
      </w:r>
      <w:r>
        <w:t xml:space="preserve">Pembiayaan kreatif dalam konteks infrastruktur daerah adalah kumpulan skema pendanaan proyek pemerintah daerah di luar APBD murni, termasuk KPBU (</w:t>
      </w:r>
      <w:r>
        <w:rPr>
          <w:i/>
          <w:iCs/>
        </w:rPr>
        <w:t xml:space="preserve">Kerja Sama Pemerintah dengan Badan Usaha</w:t>
      </w:r>
      <w:r>
        <w:t xml:space="preserve">) berskala kecil dan regional. Pilihan instrumennya, entah</w:t>
      </w:r>
      <w:r>
        <w:t xml:space="preserve"> </w:t>
      </w:r>
      <w:r>
        <w:rPr>
          <w:i/>
          <w:iCs/>
        </w:rPr>
        <w:t xml:space="preserve">user charge</w:t>
      </w:r>
      <w:r>
        <w:t xml:space="preserve">, Availability Payment, atau tetap APBD, ditentukan oleh satu variabel: apakah sektor proyek punya arus kas pengguna dan apakah tarifnya menutup biaya.</w:t>
      </w:r>
    </w:p>
    <w:bookmarkStart w:id="20" w:name="Xcf032c83432217133c324ebb18b7050654a7cf2"/>
    <w:p>
      <w:pPr>
        <w:pStyle w:val="Heading2"/>
      </w:pPr>
      <w:r>
        <w:t xml:space="preserve">Mengapa pilihan instrumen pembiayaan kreatif bergantung pada sektornya?</w:t>
      </w:r>
    </w:p>
    <w:p>
      <w:pPr>
        <w:pStyle w:val="FirstParagraph"/>
      </w:pPr>
      <w:r>
        <w:t xml:space="preserve">Karena instrumen tidak menciptakan uang, ia hanya menentukan dari mana uang itu ditagih. Sektor dengan tarif yang menutup biaya penuh dapat memakai KPBU berbasis</w:t>
      </w:r>
      <w:r>
        <w:t xml:space="preserve"> </w:t>
      </w:r>
      <w:r>
        <w:rPr>
          <w:i/>
          <w:iCs/>
        </w:rPr>
        <w:t xml:space="preserve">user charge</w:t>
      </w:r>
      <w:r>
        <w:t xml:space="preserve">. Sektor dengan tarif di bawah biaya membutuhkan Dukungan Kelayakan. Sektor tanpa tarif pengguna sama sekali hanya bisa dibayar dari APBD melalui Availability Payment.</w:t>
      </w:r>
    </w:p>
    <w:p>
      <w:pPr>
        <w:pStyle w:val="BodyText"/>
      </w:pPr>
      <w:r>
        <w:t xml:space="preserve">Portal KPBU Kementerian Keuangan menyebut tiga bentuk pengembalian investasi: Pembayaran Ketersediaan Layanan (</w:t>
      </w:r>
      <w:r>
        <w:rPr>
          <w:i/>
          <w:iCs/>
        </w:rPr>
        <w:t xml:space="preserve">Availability Payment</w:t>
      </w:r>
      <w:r>
        <w:t xml:space="preserve">), Pembayaran Pengguna Layanan (</w:t>
      </w:r>
      <w:r>
        <w:rPr>
          <w:i/>
          <w:iCs/>
        </w:rPr>
        <w:t xml:space="preserve">user charge</w:t>
      </w:r>
      <w:r>
        <w:t xml:space="preserve">), dan pengembalian dalam bentuk lainnya (</w:t>
      </w:r>
      <w:hyperlink r:id="rId18">
        <w:r>
          <w:rPr>
            <w:rStyle w:val="Hyperlink"/>
          </w:rPr>
          <w:t xml:space="preserve">kpbu.kemenkeu.go.id</w:t>
        </w:r>
      </w:hyperlink>
      <w:r>
        <w:t xml:space="preserve">, diakses September 2026). Yang pertama adalah pembayaran berkala pemerintah atas tersedianya layanan sesuai mutu kontrak; yang kedua adalah tarif dari pengguna. Pilihan di antara keduanya menentukan hampir seluruh</w:t>
      </w:r>
      <w:r>
        <w:t xml:space="preserve"> </w:t>
      </w:r>
      <w:hyperlink r:id="rId19">
        <w:r>
          <w:rPr>
            <w:rStyle w:val="Hyperlink"/>
          </w:rPr>
          <w:t xml:space="preserve">struktur proyek KPBU per sektor</w:t>
        </w:r>
      </w:hyperlink>
      <w:r>
        <w:t xml:space="preserve"> </w:t>
      </w:r>
      <w:r>
        <w:t xml:space="preserve">yang disiapkan PJPK (</w:t>
      </w:r>
      <w:r>
        <w:rPr>
          <w:i/>
          <w:iCs/>
        </w:rPr>
        <w:t xml:space="preserve">Penanggung Jawab Proyek Kerja Sama</w:t>
      </w:r>
      <w:r>
        <w:t xml:space="preserve">).</w:t>
      </w:r>
    </w:p>
    <w:p>
      <w:pPr>
        <w:pStyle w:val="BodyText"/>
      </w:pPr>
      <w:r>
        <w:t xml:space="preserve">Tiga kemungkinan hasil dari satu pertanyaan tarif itu:</w:t>
      </w:r>
    </w:p>
    <w:p>
      <w:pPr>
        <w:pStyle w:val="Compact"/>
        <w:numPr>
          <w:ilvl w:val="0"/>
          <w:numId w:val="1001"/>
        </w:numPr>
      </w:pPr>
      <w:r>
        <w:rPr>
          <w:b/>
          <w:bCs/>
        </w:rPr>
        <w:t xml:space="preserve">Tarif menutup biaya penuh dan layak secara politik</w:t>
      </w:r>
      <w:r>
        <w:t xml:space="preserve"> </w:t>
      </w:r>
      <w:r>
        <w:t xml:space="preserve">→ KPBU dengan</w:t>
      </w:r>
      <w:r>
        <w:t xml:space="preserve"> </w:t>
      </w:r>
      <w:r>
        <w:rPr>
          <w:i/>
          <w:iCs/>
        </w:rPr>
        <w:t xml:space="preserve">user charge</w:t>
      </w:r>
      <w:r>
        <w:t xml:space="preserve"> </w:t>
      </w:r>
      <w:r>
        <w:t xml:space="preserve">murni.</w:t>
      </w:r>
    </w:p>
    <w:p>
      <w:pPr>
        <w:pStyle w:val="Compact"/>
        <w:numPr>
          <w:ilvl w:val="0"/>
          <w:numId w:val="1001"/>
        </w:numPr>
      </w:pPr>
      <w:r>
        <w:rPr>
          <w:b/>
          <w:bCs/>
        </w:rPr>
        <w:t xml:space="preserve">Ada tarif, tetapi belum menutup biaya</w:t>
      </w:r>
      <w:r>
        <w:t xml:space="preserve"> </w:t>
      </w:r>
      <w:r>
        <w:t xml:space="preserve">→ KPBU dengan Dukungan Kelayakan (</w:t>
      </w:r>
      <w:r>
        <w:rPr>
          <w:i/>
          <w:iCs/>
        </w:rPr>
        <w:t xml:space="preserve">Viability Gap Fund</w:t>
      </w:r>
      <w:r>
        <w:t xml:space="preserve">/VGF), yang sejak PMK No. 68 Tahun 2024 diatur dalam satu payung bersama penjaminan dan Availability Payment.</w:t>
      </w:r>
    </w:p>
    <w:p>
      <w:pPr>
        <w:pStyle w:val="Compact"/>
        <w:numPr>
          <w:ilvl w:val="0"/>
          <w:numId w:val="1001"/>
        </w:numPr>
      </w:pPr>
      <w:r>
        <w:rPr>
          <w:b/>
          <w:bCs/>
        </w:rPr>
        <w:t xml:space="preserve">Tidak ada tarif pengguna sama sekali</w:t>
      </w:r>
      <w:r>
        <w:t xml:space="preserve"> </w:t>
      </w:r>
      <w:r>
        <w:t xml:space="preserve">→ Availability Payment dari APBD, atau pengadaan konvensional bila nilai proyeknya terlalu kecil.</w:t>
      </w:r>
    </w:p>
    <w:bookmarkEnd w:id="20"/>
    <w:bookmarkStart w:id="22" w:name="instrumen-mana-untuk-sektor-apa"/>
    <w:p>
      <w:pPr>
        <w:pStyle w:val="Heading2"/>
      </w:pPr>
      <w:r>
        <w:t xml:space="preserve">Instrumen mana untuk sektor apa</w:t>
      </w:r>
    </w:p>
    <w:p>
      <w:pPr>
        <w:pStyle w:val="FirstParagraph"/>
      </w:pPr>
      <w:r>
        <w:t xml:space="preserve">Polanya cukup stabil untuk sektor kewenangan daerah: air minum umumnya butuh KPBU dengan Dukungan Kelayakan, persampahan regional bergantung pada</w:t>
      </w:r>
      <w:r>
        <w:t xml:space="preserve"> </w:t>
      </w:r>
      <w:r>
        <w:rPr>
          <w:i/>
          <w:iCs/>
        </w:rPr>
        <w:t xml:space="preserve">tipping fee</w:t>
      </w:r>
      <w:r>
        <w:t xml:space="preserve"> </w:t>
      </w:r>
      <w:r>
        <w:t xml:space="preserve">dari APBD peserta, penerangan jalan umum cocok dengan Availability Payment, jalan kabupaten biasanya tetap pengadaan konvensional, dan pasar lebih pas lewat kerja sama pemanfaatan aset.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Sektor (kewenangan daerah)</w:t>
            </w:r>
          </w:p>
        </w:tc>
        <w:tc>
          <w:tcPr/>
          <w:p>
            <w:pPr>
              <w:pStyle w:val="Compact"/>
            </w:pPr>
            <w:r>
              <w:t xml:space="preserve">Sumber arus kas</w:t>
            </w:r>
          </w:p>
        </w:tc>
        <w:tc>
          <w:tcPr/>
          <w:p>
            <w:pPr>
              <w:pStyle w:val="Compact"/>
            </w:pPr>
            <w:r>
              <w:t xml:space="preserve">Skema pengembalian yang lazim</w:t>
            </w:r>
          </w:p>
        </w:tc>
        <w:tc>
          <w:tcPr/>
          <w:p>
            <w:pPr>
              <w:pStyle w:val="Compact"/>
            </w:pPr>
            <w:r>
              <w:t xml:space="preserve">Instrumen yang realistis</w:t>
            </w:r>
          </w:p>
        </w:tc>
        <w:tc>
          <w:tcPr/>
          <w:p>
            <w:pPr>
              <w:pStyle w:val="Compact"/>
            </w:pPr>
            <w:r>
              <w:t xml:space="preserve">Catatan</w:t>
            </w:r>
          </w:p>
        </w:tc>
      </w:tr>
      <w:tr>
        <w:tc>
          <w:tcPr/>
          <w:p>
            <w:pPr>
              <w:pStyle w:val="Compact"/>
            </w:pPr>
            <w:r>
              <w:t xml:space="preserve">Air minum / SPAM</w:t>
            </w:r>
          </w:p>
        </w:tc>
        <w:tc>
          <w:tcPr/>
          <w:p>
            <w:pPr>
              <w:pStyle w:val="Compact"/>
            </w:pPr>
            <w:r>
              <w:t xml:space="preserve">Tarif pelanggan BUMD Air Minum</w:t>
            </w:r>
          </w:p>
        </w:tc>
        <w:tc>
          <w:tcPr/>
          <w:p>
            <w:pPr>
              <w:pStyle w:val="Compact"/>
            </w:pPr>
            <w:r>
              <w:rPr>
                <w:i/>
                <w:iCs/>
              </w:rPr>
              <w:t xml:space="preserve">User charge</w:t>
            </w:r>
            <w:r>
              <w:t xml:space="preserve">, umumnya perlu ditambal Dukungan Kelayakan</w:t>
            </w:r>
          </w:p>
        </w:tc>
        <w:tc>
          <w:tcPr/>
          <w:p>
            <w:pPr>
              <w:pStyle w:val="Compact"/>
            </w:pPr>
            <w:r>
              <w:t xml:space="preserve">KPBU + Dukungan Kelayakan;</w:t>
            </w:r>
            <w:r>
              <w:t xml:space="preserve"> </w:t>
            </w:r>
            <w:r>
              <w:rPr>
                <w:i/>
                <w:iCs/>
              </w:rPr>
              <w:t xml:space="preserve">user charge</w:t>
            </w:r>
            <w:r>
              <w:t xml:space="preserve"> </w:t>
            </w:r>
            <w:r>
              <w:t xml:space="preserve">murni hanya bila tarif sudah</w:t>
            </w:r>
            <w:r>
              <w:t xml:space="preserve"> </w:t>
            </w:r>
            <w:r>
              <w:rPr>
                <w:i/>
                <w:iCs/>
              </w:rPr>
              <w:t xml:space="preserve">full cost recovery</w:t>
            </w:r>
          </w:p>
        </w:tc>
        <w:tc>
          <w:tcPr/>
          <w:p>
            <w:pPr>
              <w:pStyle w:val="Compact"/>
            </w:pPr>
            <w:r>
              <w:t xml:space="preserve">19 dari 394 BUMD lolos syarat (Maret 2025)</w:t>
            </w:r>
          </w:p>
        </w:tc>
      </w:tr>
      <w:tr>
        <w:tc>
          <w:tcPr/>
          <w:p>
            <w:pPr>
              <w:pStyle w:val="Compact"/>
            </w:pPr>
            <w:r>
              <w:t xml:space="preserve">Persampahan (PSEL/TPPAS regional)</w:t>
            </w:r>
          </w:p>
        </w:tc>
        <w:tc>
          <w:tcPr/>
          <w:p>
            <w:pPr>
              <w:pStyle w:val="Compact"/>
            </w:pPr>
            <w:r>
              <w:rPr>
                <w:i/>
                <w:iCs/>
              </w:rPr>
              <w:t xml:space="preserve">Tipping fee</w:t>
            </w:r>
            <w:r>
              <w:t xml:space="preserve"> </w:t>
            </w:r>
            <w:r>
              <w:t xml:space="preserve">dari APBD pemda peserta</w:t>
            </w:r>
          </w:p>
        </w:tc>
        <w:tc>
          <w:tcPr/>
          <w:p>
            <w:pPr>
              <w:pStyle w:val="Compact"/>
            </w:pPr>
            <w:r>
              <w:t xml:space="preserve">Pembayaran layanan jangka panjang</w:t>
            </w:r>
          </w:p>
        </w:tc>
        <w:tc>
          <w:tcPr/>
          <w:p>
            <w:pPr>
              <w:pStyle w:val="Compact"/>
            </w:pPr>
            <w:r>
              <w:t xml:space="preserve">KPBU regional lintas kabupaten/kota</w:t>
            </w:r>
          </w:p>
        </w:tc>
        <w:tc>
          <w:tcPr/>
          <w:p>
            <w:pPr>
              <w:pStyle w:val="Compact"/>
            </w:pPr>
            <w:r>
              <w:t xml:space="preserve">Beban fiskal berpindah bentuk, tidak hilang</w:t>
            </w:r>
          </w:p>
        </w:tc>
      </w:tr>
      <w:tr>
        <w:tc>
          <w:tcPr/>
          <w:p>
            <w:pPr>
              <w:pStyle w:val="Compact"/>
            </w:pPr>
            <w:r>
              <w:t xml:space="preserve">Penerangan jalan umum (APJ)</w:t>
            </w:r>
          </w:p>
        </w:tc>
        <w:tc>
          <w:tcPr/>
          <w:p>
            <w:pPr>
              <w:pStyle w:val="Compact"/>
            </w:pPr>
            <w:r>
              <w:t xml:space="preserve">Tidak ada tarif pengguna</w:t>
            </w:r>
          </w:p>
        </w:tc>
        <w:tc>
          <w:tcPr/>
          <w:p>
            <w:pPr>
              <w:pStyle w:val="Compact"/>
            </w:pPr>
            <w:r>
              <w:t xml:space="preserve">Availability Payment dari APBD</w:t>
            </w:r>
          </w:p>
        </w:tc>
        <w:tc>
          <w:tcPr/>
          <w:p>
            <w:pPr>
              <w:pStyle w:val="Compact"/>
            </w:pPr>
            <w:r>
              <w:t xml:space="preserve">KPBU dengan Availability Payment</w:t>
            </w:r>
          </w:p>
        </w:tc>
        <w:tc>
          <w:tcPr/>
          <w:p>
            <w:pPr>
              <w:pStyle w:val="Compact"/>
            </w:pPr>
            <w:r>
              <w:t xml:space="preserve">Preseden Madiun (2022) dan Lombok Barat (2023)</w:t>
            </w:r>
          </w:p>
        </w:tc>
      </w:tr>
      <w:tr>
        <w:tc>
          <w:tcPr/>
          <w:p>
            <w:pPr>
              <w:pStyle w:val="Compact"/>
            </w:pPr>
            <w:r>
              <w:t xml:space="preserve">Jalan kabupaten/kota (non-tol)</w:t>
            </w:r>
          </w:p>
        </w:tc>
        <w:tc>
          <w:tcPr/>
          <w:p>
            <w:pPr>
              <w:pStyle w:val="Compact"/>
            </w:pPr>
            <w:r>
              <w:t xml:space="preserve">Umumnya tidak ada</w:t>
            </w:r>
          </w:p>
        </w:tc>
        <w:tc>
          <w:tcPr/>
          <w:p>
            <w:pPr>
              <w:pStyle w:val="Compact"/>
            </w:pPr>
            <w:r>
              <w:t xml:space="preserve">Availability Payment, jarang dipakai</w:t>
            </w:r>
          </w:p>
        </w:tc>
        <w:tc>
          <w:tcPr/>
          <w:p>
            <w:pPr>
              <w:pStyle w:val="Compact"/>
            </w:pPr>
            <w:r>
              <w:t xml:space="preserve">Pengadaan konvensional, bila perlu pinjaman daerah</w:t>
            </w:r>
          </w:p>
        </w:tc>
        <w:tc>
          <w:tcPr/>
          <w:p>
            <w:pPr>
              <w:pStyle w:val="Compact"/>
            </w:pPr>
            <w:r>
              <w:t xml:space="preserve">Boleh secara hukum, langka dalam praktik</w:t>
            </w:r>
          </w:p>
        </w:tc>
      </w:tr>
      <w:tr>
        <w:tc>
          <w:tcPr/>
          <w:p>
            <w:pPr>
              <w:pStyle w:val="Compact"/>
            </w:pPr>
            <w:r>
              <w:t xml:space="preserve">Pasar dan fasilitas sosial</w:t>
            </w:r>
          </w:p>
        </w:tc>
        <w:tc>
          <w:tcPr/>
          <w:p>
            <w:pPr>
              <w:pStyle w:val="Compact"/>
            </w:pPr>
            <w:r>
              <w:t xml:space="preserve">Retribusi dan sewa kios (pasar)</w:t>
            </w:r>
          </w:p>
        </w:tc>
        <w:tc>
          <w:tcPr/>
          <w:p>
            <w:pPr>
              <w:pStyle w:val="Compact"/>
            </w:pPr>
            <w:r>
              <w:rPr>
                <w:i/>
                <w:iCs/>
              </w:rPr>
              <w:t xml:space="preserve">User charge</w:t>
            </w:r>
            <w:r>
              <w:t xml:space="preserve"> </w:t>
            </w:r>
            <w:r>
              <w:t xml:space="preserve">terbatas</w:t>
            </w:r>
          </w:p>
        </w:tc>
        <w:tc>
          <w:tcPr/>
          <w:p>
            <w:pPr>
              <w:pStyle w:val="Compact"/>
            </w:pPr>
            <w:r>
              <w:t xml:space="preserve">Kerja sama pemanfaatan aset; KPBU penuh hanya untuk kawasan besar</w:t>
            </w:r>
          </w:p>
        </w:tc>
        <w:tc>
          <w:tcPr/>
          <w:p>
            <w:pPr>
              <w:pStyle w:val="Compact"/>
            </w:pPr>
            <w:r>
              <w:t xml:space="preserve">Perdagangan adalah urusan pilihan</w:t>
            </w:r>
          </w:p>
        </w:tc>
      </w:tr>
    </w:tbl>
    <w:p>
      <w:pPr>
        <w:pStyle w:val="BodyText"/>
      </w:pPr>
      <w:r>
        <w:t xml:space="preserve">Kelima sektor itu kewenangan daerah menurut</w:t>
      </w:r>
      <w:r>
        <w:t xml:space="preserve"> </w:t>
      </w:r>
      <w:hyperlink r:id="rId21">
        <w:r>
          <w:rPr>
            <w:rStyle w:val="Hyperlink"/>
          </w:rPr>
          <w:t xml:space="preserve">UU No. 23 Tahun 2014 Pasal 12</w:t>
        </w:r>
      </w:hyperlink>
      <w:r>
        <w:t xml:space="preserve">, yang membagi urusan pemerintahan konkuren menjadi wajib pelayanan dasar, wajib non-pelayanan dasar, dan pilihan. Air minum dan jalan kabupaten berada di bidang pekerjaan umum dan penataan ruang; persampahan di lingkungan hidup. Pasar berbeda karakter: perdagangan adalah urusan pilihan, bukan wajib, sehingga proyek pasar tidak terikat Standar Pelayanan Minimal dan lebih leluasa memilih bentuk kerja sama. Penerangan jalan umum tidak muncul sebagai kategori tersendiri dalam pembagian itu, tetapi konsisten diperlakukan sebagai kewenangan kabupaten/kota.</w:t>
      </w:r>
    </w:p>
    <w:bookmarkEnd w:id="22"/>
    <w:bookmarkStart w:id="23" w:name="X9423356b00e43daf6c94dc1907de8c2b753b0d6"/>
    <w:p>
      <w:pPr>
        <w:pStyle w:val="Heading2"/>
      </w:pPr>
      <w:r>
        <w:t xml:space="preserve">Mengapa penerangan jalan umum jadi pintu masuk paling realistis bagi kabupaten?</w:t>
      </w:r>
    </w:p>
    <w:p>
      <w:pPr>
        <w:pStyle w:val="FirstParagraph"/>
      </w:pPr>
      <w:r>
        <w:t xml:space="preserve">Karena lampu jalan tidak mungkin ditagihkan per pengguna, sehingga tidak ada perdebatan tarif yang harus dimenangkan lebih dulu. Layanannya terukur, kontraknya relatif sederhana, dan nilai proyeknya masih dalam jangkauan APBD kabupaten. Sedikitnya dua proyek KPBU APJ berskala kabupaten sudah melewati penandatanganan kontrak, dan satu di antaranya sudah beroperasi komersial.</w:t>
      </w:r>
    </w:p>
    <w:p>
      <w:pPr>
        <w:pStyle w:val="BodyText"/>
      </w:pPr>
      <w:r>
        <w:t xml:space="preserve">KPBU Penerangan Jalan Umum Kabupaten Madiun, Jawa Timur, tercatat sebagai proyek KPBU APJ pertama di Indonesia, dengan nilai investasi sekitar Rp 100 miliar pada saat perjanjian ditandatangani tahun 2022. Angka itu berbeda-beda antarsumber, jadi lebih aman dibaca sebagai kisaran ketimbang nilai pasti. PT PII menandatangani Perjanjian Penjaminan dan Perjanjian Regres untuk proyek tersebut pada 20 September 2022, dan proyek beroperasi komersial pada 18 Juli 2023. Pola yang sama berulang di Kabupaten Lombok Barat, Nusa Tenggara Barat, dengan perjanjian penjaminan dan regres ditandatangani 12 Oktober 2023 menurut portal KPBU Kementerian Keuangan.</w:t>
      </w:r>
    </w:p>
    <w:p>
      <w:pPr>
        <w:pStyle w:val="BodyText"/>
      </w:pPr>
      <w:r>
        <w:t xml:space="preserve">Yang menggerakkan sektor ini bukan kecanggihan strukturnya, justru kesederhanaannya: pemda membeli ketersediaan titik lampu yang menyala sesuai standar, bukan menjual air ke pelanggan dengan tarif yang harus dinaikkan lebih dulu.</w:t>
      </w:r>
    </w:p>
    <w:p>
      <w:pPr>
        <w:pStyle w:val="BodyText"/>
      </w:pPr>
      <w:r>
        <w:t xml:space="preserve">Satu hal yang sering disalahpahami: Availability Payment tetap kewajiban PJPK yang dianggarkan dari APBD sepanjang masa kontrak, bukan hibah. Penjaminan pemerintah memagari risiko sisi pemerintah dalam kontrak, bukan menghapus kewajiban membayar itu.</w:t>
      </w:r>
    </w:p>
    <w:bookmarkEnd w:id="23"/>
    <w:bookmarkStart w:id="26" w:name="Xe080215d50d3bfea1893d8ad6038df8962be8a5"/>
    <w:p>
      <w:pPr>
        <w:pStyle w:val="Heading2"/>
      </w:pPr>
      <w:r>
        <w:t xml:space="preserve">Dua sektor yang paling sering salah pasang instrumen</w:t>
      </w:r>
    </w:p>
    <w:p>
      <w:pPr>
        <w:pStyle w:val="FirstParagraph"/>
      </w:pPr>
      <w:r>
        <w:t xml:space="preserve">Air minum dan persampahan. Air minum kerap diusulkan sebagai KPBU</w:t>
      </w:r>
      <w:r>
        <w:t xml:space="preserve"> </w:t>
      </w:r>
      <w:r>
        <w:rPr>
          <w:i/>
          <w:iCs/>
        </w:rPr>
        <w:t xml:space="preserve">user charge</w:t>
      </w:r>
      <w:r>
        <w:t xml:space="preserve"> </w:t>
      </w:r>
      <w:r>
        <w:t xml:space="preserve">padahal tarifnya belum menutup biaya, dan menaikkannya sampai level itu jarang populer secara politik. Persampahan kerap dipromosikan sebagai cara menghindari beban APBD, padahal</w:t>
      </w:r>
      <w:r>
        <w:t xml:space="preserve"> </w:t>
      </w:r>
      <w:r>
        <w:rPr>
          <w:i/>
          <w:iCs/>
        </w:rPr>
        <w:t xml:space="preserve">tipping fee</w:t>
      </w:r>
      <w:r>
        <w:t xml:space="preserve"> </w:t>
      </w:r>
      <w:r>
        <w:t xml:space="preserve">yang membayar badan usaha justru bersumber dari APBD pemda peserta.</w:t>
      </w:r>
    </w:p>
    <w:p>
      <w:pPr>
        <w:pStyle w:val="BodyText"/>
      </w:pPr>
      <w:r>
        <w:t xml:space="preserve">Angkanya menjelaskan lebih baik daripada argumen. Dari 394 BUMD Air Minum nasional, 258 berkinerja sehat, tetapi hanya 19 yang memenuhi syarat kerja sama dengan swasta, karena syaratnya bukan sekadar sehat melainkan juga menerapkan tarif</w:t>
      </w:r>
      <w:r>
        <w:t xml:space="preserve"> </w:t>
      </w:r>
      <w:r>
        <w:rPr>
          <w:i/>
          <w:iCs/>
        </w:rPr>
        <w:t xml:space="preserve">full cost recovery</w:t>
      </w:r>
      <w:r>
        <w:t xml:space="preserve"> </w:t>
      </w:r>
      <w:r>
        <w:t xml:space="preserve">(pemulihan biaya penuh) tiga tahun berturut-turut (</w:t>
      </w:r>
      <w:hyperlink r:id="rId24">
        <w:r>
          <w:rPr>
            <w:rStyle w:val="Hyperlink"/>
          </w:rPr>
          <w:t xml:space="preserve">Kementerian Pekerjaan Umum, 13 Maret 2025</w:t>
        </w:r>
      </w:hyperlink>
      <w:r>
        <w:t xml:space="preserve">). Kurang dari 5% dari seluruh BUMD Air Minum nasional.</w:t>
      </w:r>
    </w:p>
    <w:p>
      <w:pPr>
        <w:pStyle w:val="BodyText"/>
      </w:pPr>
      <w:r>
        <w:t xml:space="preserve">Konsekuensinya praktis. Bagi mayoritas daerah,</w:t>
      </w:r>
      <w:r>
        <w:t xml:space="preserve"> </w:t>
      </w:r>
      <w:hyperlink r:id="rId25">
        <w:r>
          <w:rPr>
            <w:rStyle w:val="Hyperlink"/>
          </w:rPr>
          <w:t xml:space="preserve">public private partnership di sektor air dan persampahan</w:t>
        </w:r>
      </w:hyperlink>
      <w:r>
        <w:t xml:space="preserve"> </w:t>
      </w:r>
      <w:r>
        <w:t xml:space="preserve">realistis hanya bila ada Dukungan Kelayakan yang menambal selisih tarif, atau bila lingkupnya dibatasi pada bagian yang memang punya arus kas.</w:t>
      </w:r>
    </w:p>
    <w:p>
      <w:pPr>
        <w:pStyle w:val="BodyText"/>
      </w:pPr>
      <w:r>
        <w:t xml:space="preserve">Persampahan punya masalah yang berbeda bentuknya. TPPAS Regional Legok Nangka, Jawa Barat, menyepakati</w:t>
      </w:r>
      <w:r>
        <w:t xml:space="preserve"> </w:t>
      </w:r>
      <w:r>
        <w:rPr>
          <w:i/>
          <w:iCs/>
        </w:rPr>
        <w:t xml:space="preserve">tipping fee</w:t>
      </w:r>
      <w:r>
        <w:t xml:space="preserve"> </w:t>
      </w:r>
      <w:r>
        <w:t xml:space="preserve">Rp 386.000 per ton pada Oktober 2019, dengan 30% disubsidi Pemerintah Provinsi Jawa Barat dan 70% ditanggung enam kabupaten/kota peserta dari APBD masing-masing. Per Juni 2024, proyek bernilai sekitar Rp 4 triliun itu dilaporkan belum beroperasi, dengan target rampung 2028–2029. Tarif 2019 itu belum tentu masih berlaku dalam bentuk yang sama, dan jedanya sendiri sudah menjadi pelajaran: pembiayaan kreatif di sektor persampahan memindahkan beban fiskal ke kewajiban kontraktual jangka panjang, bukan menghapusnya.</w:t>
      </w:r>
    </w:p>
    <w:bookmarkEnd w:id="26"/>
    <w:bookmarkStart w:id="27" w:name="X6a72688b403b9ac0283f08ef460118f25c063b1"/>
    <w:p>
      <w:pPr>
        <w:pStyle w:val="Heading2"/>
      </w:pPr>
      <w:r>
        <w:t xml:space="preserve">Kapan proyek sebaiknya tetap dibiayai APBD</w:t>
      </w:r>
    </w:p>
    <w:p>
      <w:pPr>
        <w:pStyle w:val="FirstParagraph"/>
      </w:pPr>
      <w:r>
        <w:t xml:space="preserve">Ketika biaya penyiapan transaksi tidak sepadan dengan nilai proyek, ketika layanannya tidak mungkin ditagihkan secara politik, ketika spesifikasi asetnya masih mungkin berubah, atau ketika daerah belum punya rekam jejak pemeliharaan yang meyakinkan calon mitra. Dalam empat kondisi itu, APBD atau pengadaan konvensional adalah jawaban yang benar.</w:t>
      </w:r>
    </w:p>
    <w:p>
      <w:pPr>
        <w:pStyle w:val="Compact"/>
        <w:numPr>
          <w:ilvl w:val="0"/>
          <w:numId w:val="1002"/>
        </w:numPr>
      </w:pPr>
      <w:r>
        <w:rPr>
          <w:b/>
          <w:bCs/>
        </w:rPr>
        <w:t xml:space="preserve">Nilai proyek terlalu kecil.</w:t>
      </w:r>
      <w:r>
        <w:t xml:space="preserve"> </w:t>
      </w:r>
      <w:r>
        <w:t xml:space="preserve">Halaman persyaratan proyek Kementerian Keuangan tidak mencantumkan ambang nilai minimal untuk KPBU (diakses September 2026), sementara biaya penyiapan relatif tetap: studi kelayakan, dokumen lelang, pendampingan transaksi. Ini pertimbangan ekonomis, bukan aturan.</w:t>
      </w:r>
    </w:p>
    <w:p>
      <w:pPr>
        <w:pStyle w:val="Compact"/>
        <w:numPr>
          <w:ilvl w:val="0"/>
          <w:numId w:val="1002"/>
        </w:numPr>
      </w:pPr>
      <w:r>
        <w:rPr>
          <w:b/>
          <w:bCs/>
        </w:rPr>
        <w:t xml:space="preserve">Layanannya tidak bisa ditagihkan.</w:t>
      </w:r>
      <w:r>
        <w:t xml:space="preserve"> </w:t>
      </w:r>
      <w:r>
        <w:t xml:space="preserve">Fasilitas sosial dasar tanpa arus kas pengguna dan tanpa penghematan terukur sulit dibentuk menjadi kontrak jangka panjang yang bisa dinilai.</w:t>
      </w:r>
    </w:p>
    <w:p>
      <w:pPr>
        <w:pStyle w:val="Compact"/>
        <w:numPr>
          <w:ilvl w:val="0"/>
          <w:numId w:val="1002"/>
        </w:numPr>
      </w:pPr>
      <w:r>
        <w:rPr>
          <w:b/>
          <w:bCs/>
        </w:rPr>
        <w:t xml:space="preserve">Spesifikasi masih akan berubah.</w:t>
      </w:r>
      <w:r>
        <w:t xml:space="preserve"> </w:t>
      </w:r>
      <w:r>
        <w:t xml:space="preserve">Kontrak KPBU mengunci keluaran selama belasan hingga puluhan tahun; aset yang justru butuh fleksibilitas desain dirugikan oleh penguncian itu.</w:t>
      </w:r>
    </w:p>
    <w:p>
      <w:pPr>
        <w:pStyle w:val="Compact"/>
        <w:numPr>
          <w:ilvl w:val="0"/>
          <w:numId w:val="1002"/>
        </w:numPr>
      </w:pPr>
      <w:r>
        <w:rPr>
          <w:b/>
          <w:bCs/>
        </w:rPr>
        <w:t xml:space="preserve">Jalan kabupaten tanpa mekanisme tarif.</w:t>
      </w:r>
      <w:r>
        <w:t xml:space="preserve"> </w:t>
      </w:r>
      <w:r>
        <w:t xml:space="preserve">Perpres No. 38 Tahun 2015 menyebut</w:t>
      </w:r>
      <w:r>
        <w:t xml:space="preserve"> </w:t>
      </w:r>
      <w:r>
        <w:t xml:space="preserve">“infrastruktur jalan”</w:t>
      </w:r>
      <w:r>
        <w:t xml:space="preserve"> </w:t>
      </w:r>
      <w:r>
        <w:t xml:space="preserve">tanpa memisahkan tol dan non-tol, jadi secara hukum terbuka. Praktiknya, pengadaan konvensional dan pinjaman daerah di bawah ambang PP No. 1 Tahun 2024 jauh lebih lazim.</w:t>
      </w:r>
    </w:p>
    <w:p>
      <w:pPr>
        <w:pStyle w:val="FirstParagraph"/>
      </w:pPr>
      <w:r>
        <w:t xml:space="preserve">Memilih APBD bukan kegagalan penyiapan. Memaksakan KPBU pada proyek yang tidak punya sumber pembayaran yang jelas barulah kegagalan, dan biasanya baru ketahuan setelah dua tahun dan satu lelang yang sepi peminat.</w:t>
      </w:r>
    </w:p>
    <w:bookmarkEnd w:id="27"/>
    <w:bookmarkStart w:id="34" w:name="faq-pertanyaan-yang-sering-diajukan"/>
    <w:p>
      <w:pPr>
        <w:pStyle w:val="Heading2"/>
      </w:pPr>
      <w:r>
        <w:t xml:space="preserve">FAQ (Pertanyaan yang Sering Diajukan)</w:t>
      </w:r>
    </w:p>
    <w:bookmarkStart w:id="28" w:name="X2c70714d142e6dda0770a00edca95c94a1f5cdf"/>
    <w:p>
      <w:pPr>
        <w:pStyle w:val="Heading3"/>
      </w:pPr>
      <w:r>
        <w:t xml:space="preserve">Sektor apa saja yang bisa dibiayai lewat KPBU daerah?</w:t>
      </w:r>
    </w:p>
    <w:p>
      <w:pPr>
        <w:pStyle w:val="FirstParagraph"/>
      </w:pPr>
      <w:r>
        <w:t xml:space="preserve">Perpres No. 38 Tahun 2015 mencantumkan 19 kategori infrastruktur yang layak KPBU. Yang benar-benar kewenangan daerah, mengikuti pembagian urusan dalam UU No. 23 Tahun 2014, lebih sempit: air minum, air limbah, persampahan, jalan kabupaten/kota, penerangan jalan umum, pasar, serta fasilitas kesehatan dan sosial skala daerah. Jalan tol dan ketenagalistrikan besar tetap kewenangan pusat.</w:t>
      </w:r>
    </w:p>
    <w:bookmarkEnd w:id="28"/>
    <w:bookmarkStart w:id="29" w:name="X4b00028b380d455c3af66b748b03f3d4e5e89fb"/>
    <w:p>
      <w:pPr>
        <w:pStyle w:val="Heading3"/>
      </w:pPr>
      <w:r>
        <w:t xml:space="preserve">Apa bedanya user charge dan Availability Payment?</w:t>
      </w:r>
    </w:p>
    <w:p>
      <w:pPr>
        <w:pStyle w:val="FirstParagraph"/>
      </w:pPr>
      <w:r>
        <w:rPr>
          <w:i/>
          <w:iCs/>
        </w:rPr>
        <w:t xml:space="preserve">User charge</w:t>
      </w:r>
      <w:r>
        <w:t xml:space="preserve"> </w:t>
      </w:r>
      <w:r>
        <w:t xml:space="preserve">adalah pengembalian investasi lewat tarif yang dibayar langsung pengguna layanan, misalnya tarif air minum. Availability Payment adalah pembayaran berkala dari pemerintah, untuk proyek daerah bersumber APBD, atas tersedianya layanan sesuai mutu yang dikontrakkan. Skema kedua dipakai ketika layanan tidak bisa atau tidak layak ditagihkan langsung kepada warga, seperti penerangan jalan umum.</w:t>
      </w:r>
    </w:p>
    <w:bookmarkEnd w:id="29"/>
    <w:bookmarkStart w:id="30" w:name="Xf81b1e89c0980d87902d69a036cb9b5c2d505f6"/>
    <w:p>
      <w:pPr>
        <w:pStyle w:val="Heading3"/>
      </w:pPr>
      <w:r>
        <w:t xml:space="preserve">Instrumen apa yang cocok untuk proyek air minum daerah?</w:t>
      </w:r>
    </w:p>
    <w:p>
      <w:pPr>
        <w:pStyle w:val="FirstParagraph"/>
      </w:pPr>
      <w:r>
        <w:t xml:space="preserve">Bergantung pada tarif BUMD Air Minum setempat. Data Kementerian Pekerjaan Umum per 13 Maret 2025 mencatat dari 394 BUMD Air Minum nasional hanya 19 yang memenuhi syarat kerja sama dengan swasta, termasuk tarif</w:t>
      </w:r>
      <w:r>
        <w:t xml:space="preserve"> </w:t>
      </w:r>
      <w:r>
        <w:rPr>
          <w:i/>
          <w:iCs/>
        </w:rPr>
        <w:t xml:space="preserve">full cost recovery</w:t>
      </w:r>
      <w:r>
        <w:t xml:space="preserve"> </w:t>
      </w:r>
      <w:r>
        <w:t xml:space="preserve">tiga tahun berturut-turut. Mayoritas lainnya realistis lewat KPBU dengan Dukungan Kelayakan, atau tetap mengandalkan hibah dan pinjaman daerah.</w:t>
      </w:r>
    </w:p>
    <w:bookmarkEnd w:id="30"/>
    <w:bookmarkStart w:id="31" w:name="X5a8987b4182ed9ab575063008d71d589dfcef7b"/>
    <w:p>
      <w:pPr>
        <w:pStyle w:val="Heading3"/>
      </w:pPr>
      <w:r>
        <w:t xml:space="preserve">Mengapa banyak proyek persampahan daerah sulit dibiayai?</w:t>
      </w:r>
    </w:p>
    <w:p>
      <w:pPr>
        <w:pStyle w:val="FirstParagraph"/>
      </w:pPr>
      <w:r>
        <w:t xml:space="preserve">Karena pembayarannya bertumpu pada</w:t>
      </w:r>
      <w:r>
        <w:t xml:space="preserve"> </w:t>
      </w:r>
      <w:r>
        <w:rPr>
          <w:i/>
          <w:iCs/>
        </w:rPr>
        <w:t xml:space="preserve">tipping fee</w:t>
      </w:r>
      <w:r>
        <w:t xml:space="preserve"> </w:t>
      </w:r>
      <w:r>
        <w:t xml:space="preserve">yang dianggarkan dari APBD pemda peserta, bukan ditagih langsung kepada warga. TPPAS Regional Legok Nangka menyepakati tarif Rp 386.000 per ton pada Oktober 2019, dengan 70% ditanggung enam kabupaten/kota peserta; per Juni 2024 proyek itu dilaporkan belum beroperasi. Koordinasi antardaerah menambah lapisan negosiasi yang panjang.</w:t>
      </w:r>
    </w:p>
    <w:bookmarkEnd w:id="31"/>
    <w:bookmarkStart w:id="32" w:name="Xe6b8e80b56410ad0e247921c1a99c23edc6d792"/>
    <w:p>
      <w:pPr>
        <w:pStyle w:val="Heading3"/>
      </w:pPr>
      <w:r>
        <w:t xml:space="preserve">Apakah proyek penerangan jalan umum bisa memakai KPBU?</w:t>
      </w:r>
    </w:p>
    <w:p>
      <w:pPr>
        <w:pStyle w:val="FirstParagraph"/>
      </w:pPr>
      <w:r>
        <w:t xml:space="preserve">Bisa, dan sudah berjalan di skala kabupaten dengan skema Availability Payment, karena warga tidak dapat ditagih langsung atas lampu jalan yang menyala. KPBU Penerangan Jalan Umum Kabupaten Madiun, proyek APJ pertama di Indonesia, beroperasi komersial pada 18 Juli 2023. Pola serupa ditempuh Kabupaten Lombok Barat dengan perjanjian yang ditandatangani 12 Oktober 2023.</w:t>
      </w:r>
    </w:p>
    <w:bookmarkEnd w:id="32"/>
    <w:bookmarkStart w:id="33" w:name="Xbbb26eb813e6a7777f347ba466cd8b39a718dc4"/>
    <w:p>
      <w:pPr>
        <w:pStyle w:val="Heading3"/>
      </w:pPr>
      <w:r>
        <w:t xml:space="preserve">Berapa skala proyek minimal agar KPBU daerah masuk akal?</w:t>
      </w:r>
    </w:p>
    <w:p>
      <w:pPr>
        <w:pStyle w:val="FirstParagraph"/>
      </w:pPr>
      <w:r>
        <w:t xml:space="preserve">Tidak ada ambang nilai investasi minimal yang diatur secara formal; halaman persyaratan proyek Kementerian Keuangan tidak menyebut angka apa pun (diakses September 2026). Batasnya bersifat ekonomis: biaya penyiapan transaksi relatif tetap besarnya, sehingga proyek kecil sering lebih murah dan cepat lewat pengadaan konvensional. Perlakukan sebagai pertimbangan praktis, bukan aturan.</w:t>
      </w:r>
    </w:p>
    <w:bookmarkEnd w:id="33"/>
    <w:bookmarkEnd w:id="34"/>
    <w:bookmarkStart w:id="35" w:name="kesimpulan"/>
    <w:p>
      <w:pPr>
        <w:pStyle w:val="Heading2"/>
      </w:pPr>
      <w:r>
        <w:t xml:space="preserve">Kesimpulan</w:t>
      </w:r>
    </w:p>
    <w:p>
      <w:pPr>
        <w:pStyle w:val="FirstParagraph"/>
      </w:pPr>
      <w:r>
        <w:t xml:space="preserve">Matriks sektor di atas tidak menghapus kerja penyiapan, ia memindahkan pertanyaannya ke depan: sebelum memilih instrumen, pastikan dulu dari mana pembayarannya akan datang. Sektor menentukan jawaban itu jauh lebih kuat daripada besarnya kebutuhan investasi. Ketika sumber pembayaran sudah jelas, yang tersisa biasanya soal kepastian bagi pemberi pinjaman. Di titik itulah, lebih dari sekadar menerbitkan jaminan, PT PII mendampingi penyiapan dan strukturisasi transaksi agar proyek sampai ke</w:t>
      </w:r>
      <w:r>
        <w:t xml:space="preserve"> </w:t>
      </w:r>
      <w:r>
        <w:rPr>
          <w:i/>
          <w:iCs/>
        </w:rPr>
        <w:t xml:space="preserve">financial close</w:t>
      </w:r>
      <w:r>
        <w:t xml:space="preserve">, dengan 61 proyek dijamin (38 KPBU dan 23 non-KPBU) bernilai proyek lebih dari Rp 732 triliun per Juni 2026.</w:t>
      </w:r>
    </w:p>
    <w:p>
      <w:pPr>
        <w:pStyle w:val="BodyText"/>
      </w:pPr>
      <w:r>
        <w:t xml:space="preserve">Ragam skema pembiayaan kreatif untuk proyek daerah, beserta posisi penjaminan pemerintah di dalamnya, dapat ditelusuri lebih jauh di ptpii.co.id.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8" Target="https://kpbu.kemenkeu.go.id/read/16-13/pjpk/persyaratan-proyek" TargetMode="External" /><Relationship Type="http://schemas.openxmlformats.org/officeDocument/2006/relationships/hyperlink" Id="rId21" Target="https://pasal.id/peraturan/uu/uu-no-23-tahun-2014/pasal-12" TargetMode="External" /><Relationship Type="http://schemas.openxmlformats.org/officeDocument/2006/relationships/hyperlink" Id="rId19" Target="https://www.ptpii.co.id/kpbu" TargetMode="External" /><Relationship Type="http://schemas.openxmlformats.org/officeDocument/2006/relationships/hyperlink" Id="rId17" Target="https://www.ptpii.co.id/pembiayaan-kreatif" TargetMode="External" /><Relationship Type="http://schemas.openxmlformats.org/officeDocument/2006/relationships/hyperlink" Id="rId25" Target="https://www.ptpii.co.id/public-private-partnership" TargetMode="External" /><Relationship Type="http://schemas.openxmlformats.org/officeDocument/2006/relationships/hyperlink" Id="rId24" Target="https://www.pu.go.id/berita/kementerian-pu-dorong-pemda-kerja-sama-dengan-swasta-untuk-percepat-akses-air-bersih" TargetMode="External" /></Relationships>
</file>

<file path=word/_rels/footnotes.xml.rels><?xml version="1.0" encoding="UTF-8"?><Relationships xmlns="http://schemas.openxmlformats.org/package/2006/relationships"><Relationship Type="http://schemas.openxmlformats.org/officeDocument/2006/relationships/hyperlink" Id="rId18" Target="https://kpbu.kemenkeu.go.id/read/16-13/pjpk/persyaratan-proyek" TargetMode="External" /><Relationship Type="http://schemas.openxmlformats.org/officeDocument/2006/relationships/hyperlink" Id="rId21" Target="https://pasal.id/peraturan/uu/uu-no-23-tahun-2014/pasal-12" TargetMode="External" /><Relationship Type="http://schemas.openxmlformats.org/officeDocument/2006/relationships/hyperlink" Id="rId19" Target="https://www.ptpii.co.id/kpbu" TargetMode="External" /><Relationship Type="http://schemas.openxmlformats.org/officeDocument/2006/relationships/hyperlink" Id="rId17" Target="https://www.ptpii.co.id/pembiayaan-kreatif" TargetMode="External" /><Relationship Type="http://schemas.openxmlformats.org/officeDocument/2006/relationships/hyperlink" Id="rId25" Target="https://www.ptpii.co.id/public-private-partnership" TargetMode="External" /><Relationship Type="http://schemas.openxmlformats.org/officeDocument/2006/relationships/hyperlink" Id="rId24" Target="https://www.pu.go.id/berita/kementerian-pu-dorong-pemda-kerja-sama-dengan-swasta-untuk-percepat-akses-air-bersi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2026-09-22T01:19:53Z</dcterms:created>
  <dcterms:modified xsi:type="dcterms:W3CDTF">2026-09-22T01:19:53Z</dcterms:modified>
</cp:coreProperties>
</file>

<file path=docProps/custom.xml><?xml version="1.0" encoding="utf-8"?>
<Properties xmlns="http://schemas.openxmlformats.org/officeDocument/2006/custom-properties" xmlns:vt="http://schemas.openxmlformats.org/officeDocument/2006/docPropsVTypes"/>
</file>