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"Public Private Partnership: Indonesia vs Regional Frameworks"</w:t>
      </w:r>
      <w:r>
        <w:br/>
      </w:r>
      <w:r>
        <w:rPr>
          <w:rStyle w:val="FunctionTok"/>
        </w:rPr>
        <w:t xml:space="preserve">meta_title</w:t>
      </w:r>
      <w:r>
        <w:rPr>
          <w:rStyle w:val="KeywordTok"/>
        </w:rPr>
        <w:t xml:space="preserve">:</w:t>
      </w:r>
      <w:r>
        <w:rPr>
          <w:rStyle w:val="AttributeTok"/>
        </w:rPr>
        <w:t xml:space="preserve"> </w:t>
      </w:r>
      <w:r>
        <w:rPr>
          <w:rStyle w:val="StringTok"/>
        </w:rPr>
        <w:t xml:space="preserve">"Public Private Partnership: Indonesia vs Regional Frameworks"</w:t>
      </w:r>
      <w:r>
        <w:br/>
      </w:r>
      <w:r>
        <w:rPr>
          <w:rStyle w:val="FunctionTok"/>
        </w:rPr>
        <w:t xml:space="preserve">meta_description</w:t>
      </w:r>
      <w:r>
        <w:rPr>
          <w:rStyle w:val="KeywordTok"/>
        </w:rPr>
        <w:t xml:space="preserve">:</w:t>
      </w:r>
      <w:r>
        <w:rPr>
          <w:rStyle w:val="AttributeTok"/>
        </w:rPr>
        <w:t xml:space="preserve"> </w:t>
      </w:r>
      <w:r>
        <w:rPr>
          <w:rStyle w:val="StringTok"/>
        </w:rPr>
        <w:t xml:space="preserve">"Compare Indonesia's public private partnership guarantee company with the Philippines' statutory risk fund (2023) and Vietnam's codified revenue sharing (2021)."</w:t>
      </w:r>
      <w:r>
        <w:br/>
      </w:r>
      <w:r>
        <w:rPr>
          <w:rStyle w:val="FunctionTok"/>
        </w:rPr>
        <w:t xml:space="preserve">slug</w:t>
      </w:r>
      <w:r>
        <w:rPr>
          <w:rStyle w:val="KeywordTok"/>
        </w:rPr>
        <w:t xml:space="preserve">:</w:t>
      </w:r>
      <w:r>
        <w:rPr>
          <w:rStyle w:val="AttributeTok"/>
        </w:rPr>
        <w:t xml:space="preserve"> </w:t>
      </w:r>
      <w:r>
        <w:rPr>
          <w:rStyle w:val="StringTok"/>
        </w:rPr>
        <w:t xml:space="preserve">"public-private-partnership-indonesia-vs-regional-frameworks"</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"public private partnership"</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"PPP framework comparison"</w:t>
      </w:r>
      <w:r>
        <w:rPr>
          <w:rStyle w:val="KeywordTok"/>
        </w:rPr>
        <w:t xml:space="preserve">,</w:t>
      </w:r>
      <w:r>
        <w:rPr>
          <w:rStyle w:val="AttributeTok"/>
        </w:rPr>
        <w:t xml:space="preserve"> </w:t>
      </w:r>
      <w:r>
        <w:rPr>
          <w:rStyle w:val="StringTok"/>
        </w:rPr>
        <w:t xml:space="preserve">"Southeast Asia infrastructure"</w:t>
      </w:r>
      <w:r>
        <w:rPr>
          <w:rStyle w:val="KeywordTok"/>
        </w:rPr>
        <w:t xml:space="preserve">,</w:t>
      </w:r>
      <w:r>
        <w:rPr>
          <w:rStyle w:val="AttributeTok"/>
        </w:rPr>
        <w:t xml:space="preserve"> </w:t>
      </w:r>
      <w:r>
        <w:rPr>
          <w:rStyle w:val="StringTok"/>
        </w:rPr>
        <w:t xml:space="preserve">"Philippines PPP Code"</w:t>
      </w:r>
      <w:r>
        <w:rPr>
          <w:rStyle w:val="KeywordTok"/>
        </w:rPr>
        <w:t xml:space="preserve">,</w:t>
      </w:r>
      <w:r>
        <w:rPr>
          <w:rStyle w:val="AttributeTok"/>
        </w:rPr>
        <w:t xml:space="preserve"> </w:t>
      </w:r>
      <w:r>
        <w:rPr>
          <w:rStyle w:val="StringTok"/>
        </w:rPr>
        <w:t xml:space="preserve">"Vietnam PPP Law"</w:t>
      </w:r>
      <w:r>
        <w:rPr>
          <w:rStyle w:val="KeywordTok"/>
        </w:rPr>
        <w:t xml:space="preserve">,</w:t>
      </w:r>
      <w:r>
        <w:rPr>
          <w:rStyle w:val="AttributeTok"/>
        </w:rPr>
        <w:t xml:space="preserve"> </w:t>
      </w:r>
      <w:r>
        <w:rPr>
          <w:rStyle w:val="StringTok"/>
        </w:rPr>
        <w:t xml:space="preserve">"government undertakings"</w:t>
      </w:r>
      <w:r>
        <w:rPr>
          <w:rStyle w:val="KeywordTok"/>
        </w:rPr>
        <w:t xml:space="preserve">,</w:t>
      </w:r>
      <w:r>
        <w:rPr>
          <w:rStyle w:val="AttributeTok"/>
        </w:rPr>
        <w:t xml:space="preserve"> </w:t>
      </w:r>
      <w:r>
        <w:rPr>
          <w:rStyle w:val="StringTok"/>
        </w:rPr>
        <w:t xml:space="preserve">"viability gap funding"</w:t>
      </w:r>
      <w:r>
        <w:rPr>
          <w:rStyle w:val="KeywordTok"/>
        </w:rPr>
        <w:t xml:space="preserve">,</w:t>
      </w:r>
      <w:r>
        <w:rPr>
          <w:rStyle w:val="AttributeTok"/>
        </w:rPr>
        <w:t xml:space="preserve"> </w:t>
      </w:r>
      <w:r>
        <w:rPr>
          <w:rStyle w:val="StringTok"/>
        </w:rPr>
        <w:t xml:space="preserve">"contingent liability management"</w:t>
      </w:r>
      <w:r>
        <w:rPr>
          <w:rStyle w:val="KeywordTok"/>
        </w:rPr>
        <w:t xml:space="preserve">,</w:t>
      </w:r>
      <w:r>
        <w:rPr>
          <w:rStyle w:val="AttributeTok"/>
        </w:rPr>
        <w:t xml:space="preserve"> </w:t>
      </w:r>
      <w:r>
        <w:rPr>
          <w:rStyle w:val="StringTok"/>
        </w:rPr>
        <w:t xml:space="preserve">"Badan Usaha Penjaminan Infrastruktur (BUPI)"</w:t>
      </w:r>
      <w:r>
        <w:rPr>
          <w:rStyle w:val="KeywordTok"/>
        </w:rPr>
        <w:t xml:space="preserve">,</w:t>
      </w:r>
      <w:r>
        <w:rPr>
          <w:rStyle w:val="AttributeTok"/>
        </w:rPr>
        <w:t xml:space="preserve"> </w:t>
      </w:r>
      <w:r>
        <w:rPr>
          <w:rStyle w:val="StringTok"/>
        </w:rPr>
        <w:t xml:space="preserve">"revenue risk sharing"</w:t>
      </w:r>
      <w:r>
        <w:rPr>
          <w:rStyle w:val="KeywordTok"/>
        </w:rPr>
        <w:t xml:space="preserve">,</w:t>
      </w:r>
      <w:r>
        <w:rPr>
          <w:rStyle w:val="AttributeTok"/>
        </w:rPr>
        <w:t xml:space="preserve"> </w:t>
      </w:r>
      <w:r>
        <w:rPr>
          <w:rStyle w:val="StringTok"/>
        </w:rPr>
        <w:t xml:space="preserve">"KPBU"</w:t>
      </w:r>
      <w:r>
        <w:rPr>
          <w:rStyle w:val="KeywordTok"/>
        </w:rPr>
        <w:t xml:space="preserve">,</w:t>
      </w:r>
      <w:r>
        <w:rPr>
          <w:rStyle w:val="AttributeTok"/>
        </w:rPr>
        <w:t xml:space="preserve"> </w:t>
      </w:r>
      <w:r>
        <w:rPr>
          <w:rStyle w:val="StringTok"/>
        </w:rPr>
        <w:t xml:space="preserve">"project preparation"</w:t>
      </w:r>
      <w:r>
        <w:rPr>
          <w:rStyle w:val="KeywordTok"/>
        </w:rPr>
        <w:t xml:space="preserve">,</w:t>
      </w:r>
      <w:r>
        <w:rPr>
          <w:rStyle w:val="AttributeTok"/>
        </w:rPr>
        <w:t xml:space="preserve"> </w:t>
      </w:r>
      <w:r>
        <w:rPr>
          <w:rStyle w:val="StringTok"/>
        </w:rPr>
        <w:t xml:space="preserve">"financial close"</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"https://www.ptpii.co.id/public-private-partnership"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"Indonesia's own public private partnership guarantee arrangements"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"https://www.ptpii.co.id/kpbu"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"KPBU, the statutory scheme behind those arrangements"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"https://www.ptpii.co.id/pembiayaan-kreatif"</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"the creative financing track for subnational projects"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"https://lawphil.net/statutes/repacts/ra2023/ra_11966_2023.html"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"Republic Act No. 11966 dates, the three Section 3 guarantee types, and the Section 27 PPP Risk Management Fund"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"https://www.kingandwood.com/global/en/insights/latest-thinking/public-private-partnerships-in-asia-vietnam-guide-2025.html"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"Vietnam Law No. 64/2020/QH14 dates, Article 82 revenue-sharing thresholds, Article 81.2 foreign-exchange cap"</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"https://www.adb.org/publications/public-private-partnership-monitor-indonesia"</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"Independent characterisation of Perpres 38/2015 as the cornerstone of Indonesia's PPP enabling framework"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"https://jdih.lkpp.go.id/regulation/peraturan-lkpp/peraturan-lkpp-nomor-1-tahun-2026"</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"LKPP Regulation No. 1 of 2026 enactment and effective date"</w:t>
      </w:r>
      <w:r>
        <w:br/>
      </w:r>
      <w:r>
        <w:rPr>
          <w:rStyle w:val="FunctionTok"/>
        </w:rPr>
        <w:t xml:space="preserve">brief_id</w:t>
      </w:r>
      <w:r>
        <w:rPr>
          <w:rStyle w:val="KeywordTok"/>
        </w:rPr>
        <w:t xml:space="preserve">:</w:t>
      </w:r>
      <w:r>
        <w:rPr>
          <w:rStyle w:val="AttributeTok"/>
        </w:rPr>
        <w:t xml:space="preserve"> </w:t>
      </w:r>
      <w:r>
        <w:rPr>
          <w:rStyle w:val="StringTok"/>
        </w:rPr>
        <w:t xml:space="preserve">"public-private-partnership-03"</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date_modified</w:t>
      </w:r>
      <w:r>
        <w:rPr>
          <w:rStyle w:val="KeywordTok"/>
        </w:rPr>
        <w:t xml:space="preserve">:</w:t>
      </w:r>
      <w:r>
        <w:rPr>
          <w:rStyle w:val="AttributeTok"/>
        </w:rPr>
        <w:t xml:space="preserve"> </w:t>
      </w:r>
      <w:r>
        <w:rPr>
          <w:rStyle w:val="StringTok"/>
        </w:rPr>
        <w:t xml:space="preserve">"2026-09-21"</w:t>
      </w:r>
      <w:r>
        <w:br/>
      </w:r>
      <w:r>
        <w:rPr>
          <w:rStyle w:val="FunctionTok"/>
        </w:rPr>
        <w:t xml:space="preserve">word_count</w:t>
      </w:r>
      <w:r>
        <w:rPr>
          <w:rStyle w:val="KeywordTok"/>
        </w:rPr>
        <w:t xml:space="preserve">:</w:t>
      </w:r>
      <w:r>
        <w:rPr>
          <w:rStyle w:val="AttributeTok"/>
        </w:rPr>
        <w:t xml:space="preserve"> </w:t>
      </w:r>
      <w:r>
        <w:rPr>
          <w:rStyle w:val="DecValTok"/>
        </w:rPr>
        <w:t xml:space="preserve">1795</w:t>
      </w:r>
    </w:p>
    <w:p>
      <w:r>
        <w:pict>
          <v:rect style="width:0;height:1.5pt" o:hralign="center" o:hrstd="t" o:hr="t"/>
        </w:pict>
      </w:r>
    </w:p>
    <w:bookmarkEnd w:id="16"/>
    <w:bookmarkStart w:id="38" w:name="X9d5f5c9c6541e25f9246b886955a4b22308dd15"/>
    <w:p>
      <w:pPr>
        <w:pStyle w:val="Heading1"/>
      </w:pPr>
      <w:r>
        <w:t xml:space="preserve">Public Private Partnership: Indonesia vs Regional Frameworks</w:t>
      </w:r>
    </w:p>
    <w:p>
      <w:pPr>
        <w:pStyle w:val="FirstParagraph"/>
      </w:pPr>
      <w:r>
        <w:t xml:space="preserve">An allocator screening the same 40-kilometre toll concession in three Southeast Asian markets finds the engineering comparable. What differs is the public private partnership framework underneath: who stands behind the government’s side of the contract, and from which balance sheet. Indonesia incorporated a separate guarantee company. The Philippines wrote guarantee types into statute. Vietnam put a revenue-sharing formula into the law itself. This article sets them side by side as they stand in 2026, beginning with</w:t>
      </w:r>
      <w:r>
        <w:t xml:space="preserve"> </w:t>
      </w:r>
      <w:hyperlink r:id="rId17">
        <w:r>
          <w:rPr>
            <w:rStyle w:val="Hyperlink"/>
          </w:rPr>
          <w:t xml:space="preserve">Indonesia’s own public private partnership guarantee arrangements</w:t>
        </w:r>
      </w:hyperlink>
      <w:r>
        <w:t xml:space="preserve">, and closes with what the comparison cannot tell you.</w:t>
      </w:r>
    </w:p>
    <w:p>
      <w:pPr>
        <w:pStyle w:val="BlockText"/>
      </w:pPr>
      <w:r>
        <w:rPr>
          <w:b/>
          <w:bCs/>
        </w:rPr>
        <w:t xml:space="preserve">In brief:</w:t>
      </w:r>
      <w:r>
        <w:t xml:space="preserve"> </w:t>
      </w:r>
      <w:r>
        <w:t xml:space="preserve">A national public private partnership framework is the combination of statute, responsible institution, support instruments, and contingent-liability management that a government uses to share infrastructure risk with private investors. Indonesia routes that support through a separately capitalised guarantee company; the Philippines and Vietnam use different architectures entirely.</w:t>
      </w:r>
    </w:p>
    <w:bookmarkStart w:id="18" w:name="X7dcfcdee8455f45859c375927b0085f8bd86e3d"/>
    <w:p>
      <w:pPr>
        <w:pStyle w:val="Heading2"/>
      </w:pPr>
      <w:r>
        <w:t xml:space="preserve">What is a national public private partnership framework?</w:t>
      </w:r>
    </w:p>
    <w:p>
      <w:pPr>
        <w:pStyle w:val="FirstParagraph"/>
      </w:pPr>
      <w:r>
        <w:t xml:space="preserve">A national public private partnership framework has four moving parts: the statute that authorises risk-sharing, the institution that issues the government’s comfort, the support instruments available to a project, and the mechanism that funds the resulting contingent liabilities. Two countries can align on the first three and still differ completely on the fourth.</w:t>
      </w:r>
    </w:p>
    <w:p>
      <w:pPr>
        <w:pStyle w:val="BodyText"/>
      </w:pPr>
      <w:r>
        <w:t xml:space="preserve">That fourth part is fiscal rather than legal, and governments have three options:</w:t>
      </w:r>
    </w:p>
    <w:p>
      <w:pPr>
        <w:pStyle w:val="Compact"/>
        <w:numPr>
          <w:ilvl w:val="0"/>
          <w:numId w:val="1001"/>
        </w:numPr>
      </w:pPr>
      <w:r>
        <w:rPr>
          <w:b/>
          <w:bCs/>
        </w:rPr>
        <w:t xml:space="preserve">Capitalise a separate entity</w:t>
      </w:r>
      <w:r>
        <w:t xml:space="preserve"> </w:t>
      </w:r>
      <w:r>
        <w:t xml:space="preserve">and write guarantees against its balance sheet, which needs equity and governance.</w:t>
      </w:r>
    </w:p>
    <w:p>
      <w:pPr>
        <w:pStyle w:val="Compact"/>
        <w:numPr>
          <w:ilvl w:val="0"/>
          <w:numId w:val="1001"/>
        </w:numPr>
      </w:pPr>
      <w:r>
        <w:rPr>
          <w:b/>
          <w:bCs/>
        </w:rPr>
        <w:t xml:space="preserve">Create a dedicated fund</w:t>
      </w:r>
      <w:r>
        <w:t xml:space="preserve"> </w:t>
      </w:r>
      <w:r>
        <w:t xml:space="preserve">inside the budget, competing with every appropriation each year.</w:t>
      </w:r>
    </w:p>
    <w:p>
      <w:pPr>
        <w:pStyle w:val="Compact"/>
        <w:numPr>
          <w:ilvl w:val="0"/>
          <w:numId w:val="1001"/>
        </w:numPr>
      </w:pPr>
      <w:r>
        <w:rPr>
          <w:b/>
          <w:bCs/>
        </w:rPr>
        <w:t xml:space="preserve">Write the obligation into statute</w:t>
      </w:r>
      <w:r>
        <w:t xml:space="preserve"> </w:t>
      </w:r>
      <w:r>
        <w:t xml:space="preserve">and let it reach the budget when it triggers: cheap to legislate, harder to forecast.</w:t>
      </w:r>
    </w:p>
    <w:bookmarkEnd w:id="18"/>
    <w:bookmarkStart w:id="22" w:name="X686f3d437476cba011dfedd56053219e93b25ef"/>
    <w:p>
      <w:pPr>
        <w:pStyle w:val="Heading2"/>
      </w:pPr>
      <w:r>
        <w:t xml:space="preserve">Indonesia: a separate guarantee company with a ring-fenced balance sheet</w:t>
      </w:r>
    </w:p>
    <w:p>
      <w:pPr>
        <w:pStyle w:val="FirstParagraph"/>
      </w:pPr>
      <w:r>
        <w:t xml:space="preserve">Indonesia delivers public private partnership projects under KPBU (</w:t>
      </w:r>
      <w:r>
        <w:rPr>
          <w:i/>
          <w:iCs/>
        </w:rPr>
        <w:t xml:space="preserve">Kerja Sama Pemerintah dengan Badan Usaha</w:t>
      </w:r>
      <w:r>
        <w:t xml:space="preserve">), governed by Presidential Regulation (Perpres) 38/2015, with guarantees issued through a Badan Usaha Penjaminan Infrastruktur (BUPI) created under Perpres 78/2010. The defining choice is structural: the guarantor is a separately incorporated, state-capitalised company, so claims meet its balance sheet before they reach the state budget.</w:t>
      </w:r>
    </w:p>
    <w:p>
      <w:pPr>
        <w:pStyle w:val="BodyText"/>
      </w:pPr>
      <w:r>
        <w:t xml:space="preserve">The Asian Development Bank calls Perpres 38/2015 the</w:t>
      </w:r>
      <w:r>
        <w:t xml:space="preserve"> </w:t>
      </w:r>
      <w:hyperlink r:id="rId19">
        <w:r>
          <w:rPr>
            <w:rStyle w:val="Hyperlink"/>
          </w:rPr>
          <w:t xml:space="preserve">cornerstone of Indonesia’s PPP enabling framework</w:t>
        </w:r>
      </w:hyperlink>
      <w:r>
        <w:t xml:space="preserve">. PMK 68/2024, effective 18 October 2024, consolidated infrastructure guarantee, viability gap funding (VGF), availability payment, and project-preparation facilities into one implementing regulation, with Article 75 requiring the BUPI to publish an annual risk-allocation reference.</w:t>
      </w:r>
      <w:r>
        <w:t xml:space="preserve"> </w:t>
      </w:r>
      <w:hyperlink r:id="rId20">
        <w:r>
          <w:rPr>
            <w:rStyle w:val="Hyperlink"/>
          </w:rPr>
          <w:t xml:space="preserve">LKPP Regulation No. 1 of 2026</w:t>
        </w:r>
      </w:hyperlink>
      <w:r>
        <w:t xml:space="preserve">, effective 5 August 2026, refreshed the procurement rules.</w:t>
      </w:r>
    </w:p>
    <w:p>
      <w:pPr>
        <w:pStyle w:val="BodyText"/>
      </w:pPr>
      <w:r>
        <w:t xml:space="preserve">Indonesia’s BUPI is PT Penjaminan Infrastruktur Indonesia (Persero), known internationally as the Indonesia Infrastructure Guarantee Fund (IIGF). Its sole shareholder is the Ministry of Finance; cumulative state equity injections reached IDR 10.65 trillion between 2009 and 2023. As at June 2026 the portfolio covered 61 projects, 38 of them under</w:t>
      </w:r>
      <w:r>
        <w:t xml:space="preserve"> </w:t>
      </w:r>
      <w:hyperlink r:id="rId21">
        <w:r>
          <w:rPr>
            <w:rStyle w:val="Hyperlink"/>
          </w:rPr>
          <w:t xml:space="preserve">KPBU, the statutory scheme behind those arrangements</w:t>
        </w:r>
      </w:hyperlink>
      <w:r>
        <w:t xml:space="preserve">, with project value above IDR 732 trillion and guarantees of IDR 113 trillion.</w:t>
      </w:r>
    </w:p>
    <w:p>
      <w:pPr>
        <w:pStyle w:val="BodyText"/>
      </w:pPr>
      <w:r>
        <w:t xml:space="preserve">The cover is narrow by design: risks on the government’s side of the contract, such as discriminatory change of law or delayed approvals by the contracting agency (PJPK), usually with a right of regress. It is not a subsidy and does not remove the project company’s commercial risk.</w:t>
      </w:r>
    </w:p>
    <w:bookmarkEnd w:id="22"/>
    <w:bookmarkStart w:id="24" w:name="X35cddd43804a293778142009630c70eff352ab5"/>
    <w:p>
      <w:pPr>
        <w:pStyle w:val="Heading2"/>
      </w:pPr>
      <w:r>
        <w:t xml:space="preserve">The Philippines: statutory undertakings and a risk management fund</w:t>
      </w:r>
    </w:p>
    <w:p>
      <w:pPr>
        <w:pStyle w:val="FirstParagraph"/>
      </w:pPr>
      <w:r>
        <w:t xml:space="preserve">The Philippines codified its public private partnership support in Republic Act No. 11966, the PPP Code, signed 5 December 2023 and effective 23 December 2023. Section 3 defines three guarantee types an implementing agency may grant, and Section 27 creates a PPP Risk Management Fund to meet the resulting contingent liabilities.</w:t>
      </w:r>
    </w:p>
    <w:p>
      <w:pPr>
        <w:pStyle w:val="BodyText"/>
      </w:pPr>
      <w:r>
        <w:t xml:space="preserve">The three statutory undertakings are tight enough to quote in a term sheet:</w:t>
      </w:r>
    </w:p>
    <w:p>
      <w:pPr>
        <w:pStyle w:val="Compact"/>
        <w:numPr>
          <w:ilvl w:val="0"/>
          <w:numId w:val="1002"/>
        </w:numPr>
      </w:pPr>
      <w:r>
        <w:rPr>
          <w:b/>
          <w:bCs/>
        </w:rPr>
        <w:t xml:space="preserve">Guarantee on Demand</w:t>
      </w:r>
      <w:r>
        <w:t xml:space="preserve">: the agency assumes market-demand risk.</w:t>
      </w:r>
    </w:p>
    <w:p>
      <w:pPr>
        <w:pStyle w:val="Compact"/>
        <w:numPr>
          <w:ilvl w:val="0"/>
          <w:numId w:val="1002"/>
        </w:numPr>
      </w:pPr>
      <w:r>
        <w:rPr>
          <w:b/>
          <w:bCs/>
        </w:rPr>
        <w:t xml:space="preserve">Guarantee on Loan Repayment</w:t>
      </w:r>
      <w:r>
        <w:t xml:space="preserve">: debt repayment on private-partner default.</w:t>
      </w:r>
    </w:p>
    <w:p>
      <w:pPr>
        <w:pStyle w:val="Compact"/>
        <w:numPr>
          <w:ilvl w:val="0"/>
          <w:numId w:val="1002"/>
        </w:numPr>
      </w:pPr>
      <w:r>
        <w:rPr>
          <w:b/>
          <w:bCs/>
        </w:rPr>
        <w:t xml:space="preserve">Guarantee on Private Sector Return</w:t>
      </w:r>
      <w:r>
        <w:t xml:space="preserve">: a predetermined rate of return.</w:t>
      </w:r>
    </w:p>
    <w:p>
      <w:pPr>
        <w:pStyle w:val="FirstParagraph"/>
      </w:pPr>
      <w:r>
        <w:t xml:space="preserve">Naming the instrument in primary law helps a lender’s counsel. The</w:t>
      </w:r>
      <w:r>
        <w:t xml:space="preserve"> </w:t>
      </w:r>
      <w:hyperlink r:id="rId23">
        <w:r>
          <w:rPr>
            <w:rStyle w:val="Hyperlink"/>
          </w:rPr>
          <w:t xml:space="preserve">PPP Risk Management Fund</w:t>
        </w:r>
      </w:hyperlink>
      <w:r>
        <w:t xml:space="preserve"> </w:t>
      </w:r>
      <w:r>
        <w:t xml:space="preserve">draws on general appropriations, PPP project income, and other sources set by the Development Budget Coordination Committee, and is administered by the PPP Center. That makes it a budget-line mechanism inside government rather than a separately incorporated company with its own balance sheet, so calling it a Philippine equivalent of Indonesia’s guarantee company would misstate the architecture. Its implementing rules took effect 6 April 2024 (Philippine PPP Center, 2024).</w:t>
      </w:r>
    </w:p>
    <w:bookmarkEnd w:id="24"/>
    <w:bookmarkStart w:id="26" w:name="X0da01fe194d1f519a48537b11cdbd6032f2c500"/>
    <w:p>
      <w:pPr>
        <w:pStyle w:val="Heading2"/>
      </w:pPr>
      <w:r>
        <w:t xml:space="preserve">Vietnam: revenue sharing written into the public private partnership law</w:t>
      </w:r>
    </w:p>
    <w:p>
      <w:pPr>
        <w:pStyle w:val="FirstParagraph"/>
      </w:pPr>
      <w:r>
        <w:t xml:space="preserve">Vietnam’s Law No. 64/2020/QH14, ratified 18 June 2020 and effective 1 January 2021, writes risk sharing directly into statute. Article 82 sets a symmetrical revenue mechanism: above 125% of forecast revenue the investor shares half the excess with the State, and below 75% of forecast the State shares half the shortfall.</w:t>
      </w:r>
    </w:p>
    <w:p>
      <w:pPr>
        <w:pStyle w:val="BodyText"/>
      </w:pPr>
      <w:r>
        <w:t xml:space="preserve">Upside sharing is the price of downside protection, and both legs sit in one article rather than in a negotiated schedule (</w:t>
      </w:r>
      <w:hyperlink r:id="rId25">
        <w:r>
          <w:rPr>
            <w:rStyle w:val="Hyperlink"/>
          </w:rPr>
          <w:t xml:space="preserve">King &amp; Wood Mallesons, Vietnam PPP Guide, 2025</w:t>
        </w:r>
      </w:hyperlink>
      <w:r>
        <w:t xml:space="preserve">). The binding forecast is the one in the project’s approved financial plan.</w:t>
      </w:r>
    </w:p>
    <w:p>
      <w:pPr>
        <w:pStyle w:val="BodyText"/>
      </w:pPr>
      <w:r>
        <w:t xml:space="preserve">The foreign-exchange leg is tighter. Article 81.2 caps the government’s foreign-exchange balance guarantee at 30% of project revenue after project expenses, paid in Vietnamese dong, down from the up-to-100% coverage available under Vietnam’s pre-2020 framework. Each case needs high-level government approval. No dedicated guarantee entity and no accumulating fund appear in the law; exposure falls to the budget when a threshold is crossed.</w:t>
      </w:r>
    </w:p>
    <w:bookmarkEnd w:id="26"/>
    <w:bookmarkStart w:id="27" w:name="X941341f5cff786a6ee7f42cbefaa85638d5e483"/>
    <w:p>
      <w:pPr>
        <w:pStyle w:val="Heading2"/>
      </w:pPr>
      <w:r>
        <w:t xml:space="preserve">Which framework gives a sponsor the most usable comfort?</w:t>
      </w:r>
    </w:p>
    <w:p>
      <w:pPr>
        <w:pStyle w:val="FirstParagraph"/>
      </w:pPr>
      <w:r>
        <w:t xml:space="preserve">It depends on what the sponsor fears. A sponsor worried about counterparty default wants a capitalised issuer. One worried about traffic or offtake volumes wants demand or revenue support. One worried about repatriation wants a foreign-exchange mechanism, however capped. No framework here covers all three well, and none covers commercial risk.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Dimension</w:t>
            </w:r>
          </w:p>
        </w:tc>
        <w:tc>
          <w:tcPr/>
          <w:p>
            <w:pPr>
              <w:pStyle w:val="Compact"/>
            </w:pPr>
            <w:r>
              <w:t xml:space="preserve">Indonesia</w:t>
            </w:r>
          </w:p>
        </w:tc>
        <w:tc>
          <w:tcPr/>
          <w:p>
            <w:pPr>
              <w:pStyle w:val="Compact"/>
            </w:pPr>
            <w:r>
              <w:t xml:space="preserve">Philippines</w:t>
            </w:r>
          </w:p>
        </w:tc>
        <w:tc>
          <w:tcPr/>
          <w:p>
            <w:pPr>
              <w:pStyle w:val="Compact"/>
            </w:pPr>
            <w:r>
              <w:t xml:space="preserve">Vietnam</w:t>
            </w:r>
          </w:p>
        </w:tc>
      </w:tr>
      <w:tr>
        <w:tc>
          <w:tcPr/>
          <w:p>
            <w:pPr>
              <w:pStyle w:val="Compact"/>
            </w:pPr>
            <w:r>
              <w:t xml:space="preserve">Statutory basis</w:t>
            </w:r>
          </w:p>
        </w:tc>
        <w:tc>
          <w:tcPr/>
          <w:p>
            <w:pPr>
              <w:pStyle w:val="Compact"/>
            </w:pPr>
            <w:r>
              <w:t xml:space="preserve">Perpres 38/2015 and 78/2010; PMK 68/2024 (eff. 18 Oct 2024)</w:t>
            </w:r>
          </w:p>
        </w:tc>
        <w:tc>
          <w:tcPr/>
          <w:p>
            <w:pPr>
              <w:pStyle w:val="Compact"/>
            </w:pPr>
            <w:r>
              <w:t xml:space="preserve">Republic Act No. 11966 (eff. 23 Dec 2023); IRR eff. 6 Apr 2024</w:t>
            </w:r>
          </w:p>
        </w:tc>
        <w:tc>
          <w:tcPr/>
          <w:p>
            <w:pPr>
              <w:pStyle w:val="Compact"/>
            </w:pPr>
            <w:r>
              <w:t xml:space="preserve">Law No. 64/2020/QH14 (eff. 1 Jan 2021)</w:t>
            </w:r>
          </w:p>
        </w:tc>
      </w:tr>
      <w:tr>
        <w:tc>
          <w:tcPr/>
          <w:p>
            <w:pPr>
              <w:pStyle w:val="Compact"/>
            </w:pPr>
            <w:r>
              <w:t xml:space="preserve">Who issues the comfort</w:t>
            </w:r>
          </w:p>
        </w:tc>
        <w:tc>
          <w:tcPr/>
          <w:p>
            <w:pPr>
              <w:pStyle w:val="Compact"/>
            </w:pPr>
            <w:r>
              <w:t xml:space="preserve">Separately incorporated state company (sole BUPI)</w:t>
            </w:r>
          </w:p>
        </w:tc>
        <w:tc>
          <w:tcPr/>
          <w:p>
            <w:pPr>
              <w:pStyle w:val="Compact"/>
            </w:pPr>
            <w:r>
              <w:t xml:space="preserve">Implementing agency</w:t>
            </w:r>
          </w:p>
        </w:tc>
        <w:tc>
          <w:tcPr/>
          <w:p>
            <w:pPr>
              <w:pStyle w:val="Compact"/>
            </w:pPr>
            <w:r>
              <w:t xml:space="preserve">The State, via a codified formula</w:t>
            </w:r>
          </w:p>
        </w:tc>
      </w:tr>
      <w:tr>
        <w:tc>
          <w:tcPr/>
          <w:p>
            <w:pPr>
              <w:pStyle w:val="Compact"/>
            </w:pPr>
            <w:r>
              <w:t xml:space="preserve">Pre-funded or contingent</w:t>
            </w:r>
          </w:p>
        </w:tc>
        <w:tc>
          <w:tcPr/>
          <w:p>
            <w:pPr>
              <w:pStyle w:val="Compact"/>
            </w:pPr>
            <w:r>
              <w:t xml:space="preserve">Capitalised entity; guarantees against its balance sheet</w:t>
            </w:r>
          </w:p>
        </w:tc>
        <w:tc>
          <w:tcPr/>
          <w:p>
            <w:pPr>
              <w:pStyle w:val="Compact"/>
            </w:pPr>
            <w:r>
              <w:t xml:space="preserve">Partly pre-funded via the PPP Risk Management Fund (Sec. 27)</w:t>
            </w:r>
          </w:p>
        </w:tc>
        <w:tc>
          <w:tcPr/>
          <w:p>
            <w:pPr>
              <w:pStyle w:val="Compact"/>
            </w:pPr>
            <w:r>
              <w:t xml:space="preserve">Contingent; no accumulating fund in law</w:t>
            </w:r>
          </w:p>
        </w:tc>
      </w:tr>
      <w:tr>
        <w:tc>
          <w:tcPr/>
          <w:p>
            <w:pPr>
              <w:pStyle w:val="Compact"/>
            </w:pPr>
            <w:r>
              <w:t xml:space="preserve">Entity or budget line</w:t>
            </w:r>
          </w:p>
        </w:tc>
        <w:tc>
          <w:tcPr/>
          <w:p>
            <w:pPr>
              <w:pStyle w:val="Compact"/>
            </w:pPr>
            <w:r>
              <w:t xml:space="preserve">Separate legal entity, own balance sheet</w:t>
            </w:r>
          </w:p>
        </w:tc>
        <w:tc>
          <w:tcPr/>
          <w:p>
            <w:pPr>
              <w:pStyle w:val="Compact"/>
            </w:pPr>
            <w:r>
              <w:t xml:space="preserve">Budget-line fund run by a government agency</w:t>
            </w:r>
          </w:p>
        </w:tc>
        <w:tc>
          <w:tcPr/>
          <w:p>
            <w:pPr>
              <w:pStyle w:val="Compact"/>
            </w:pPr>
            <w:r>
              <w:t xml:space="preserve">No dedicated entity or fund; administered through the responsible ministries</w:t>
            </w:r>
          </w:p>
        </w:tc>
      </w:tr>
      <w:tr>
        <w:tc>
          <w:tcPr/>
          <w:p>
            <w:pPr>
              <w:pStyle w:val="Compact"/>
            </w:pPr>
            <w:r>
              <w:t xml:space="preserve">Codified or discretionary</w:t>
            </w:r>
          </w:p>
        </w:tc>
        <w:tc>
          <w:tcPr/>
          <w:p>
            <w:pPr>
              <w:pStyle w:val="Compact"/>
            </w:pPr>
            <w:r>
              <w:t xml:space="preserve">Per-project underwriting inside an annual risk-allocation reference</w:t>
            </w:r>
          </w:p>
        </w:tc>
        <w:tc>
          <w:tcPr/>
          <w:p>
            <w:pPr>
              <w:pStyle w:val="Compact"/>
            </w:pPr>
            <w:r>
              <w:t xml:space="preserve">Statutory types, negotiated per project</w:t>
            </w:r>
          </w:p>
        </w:tc>
        <w:tc>
          <w:tcPr/>
          <w:p>
            <w:pPr>
              <w:pStyle w:val="Compact"/>
            </w:pPr>
            <w:r>
              <w:t xml:space="preserve">Codified formula, self-executing at thresholds</w:t>
            </w:r>
          </w:p>
        </w:tc>
      </w:tr>
    </w:tbl>
    <w:p>
      <w:pPr>
        <w:pStyle w:val="BodyText"/>
      </w:pPr>
      <w:r>
        <w:t xml:space="preserve">Read it by column, not by row. Indonesia concentrates risk-bearing capacity in one underwriting institution, at the price of case-by-case discretion; the Philippines names its instruments in primary law and funds them through an appropriations cycle that competes with every other budget line each year; Vietnam offers the most mechanical certainty on paper and the least institutional machinery behind it.</w:t>
      </w:r>
    </w:p>
    <w:bookmarkEnd w:id="27"/>
    <w:bookmarkStart w:id="29" w:name="X8312dc869341fc30e43209188cf9010a80759ff"/>
    <w:p>
      <w:pPr>
        <w:pStyle w:val="Heading2"/>
      </w:pPr>
      <w:r>
        <w:t xml:space="preserve">What a framework comparison cannot tell you</w:t>
      </w:r>
    </w:p>
    <w:p>
      <w:pPr>
        <w:pStyle w:val="FirstParagraph"/>
      </w:pPr>
      <w:r>
        <w:t xml:space="preserve">Statutory generosity is a weak predictor of outcomes. What determines whether a project reaches financial close is preparation quality, land acquisition, tariff discipline, and the counterparty’s record of actually signing. A comparison table cannot show any of these, or how long a given approval takes in practice.</w:t>
      </w:r>
    </w:p>
    <w:p>
      <w:pPr>
        <w:pStyle w:val="BodyText"/>
      </w:pPr>
      <w:r>
        <w:t xml:space="preserve">A codified right that needs case-by-case approval can deliver less certainty than a smaller instrument issued routinely. The point cuts both ways: discretionary underwriting evaluates every project individually, inside an annual reference that limits what can be guaranteed at all.</w:t>
      </w:r>
    </w:p>
    <w:p>
      <w:pPr>
        <w:pStyle w:val="BodyText"/>
      </w:pPr>
      <w:r>
        <w:t xml:space="preserve">Three things worth checking before treating this as a market-selection input:</w:t>
      </w:r>
    </w:p>
    <w:p>
      <w:pPr>
        <w:pStyle w:val="Compact"/>
        <w:numPr>
          <w:ilvl w:val="0"/>
          <w:numId w:val="1003"/>
        </w:numPr>
      </w:pPr>
      <w:r>
        <w:rPr>
          <w:b/>
          <w:bCs/>
        </w:rPr>
        <w:t xml:space="preserve">Subnational capability.</w:t>
      </w:r>
      <w:r>
        <w:t xml:space="preserve"> </w:t>
      </w:r>
      <w:r>
        <w:t xml:space="preserve">Frameworks are tested hardest at provincial and municipal level, where preparation budgets are thinnest; Indonesia addresses part of this through</w:t>
      </w:r>
      <w:r>
        <w:t xml:space="preserve"> </w:t>
      </w:r>
      <w:hyperlink r:id="rId28">
        <w:r>
          <w:rPr>
            <w:rStyle w:val="Hyperlink"/>
          </w:rPr>
          <w:t xml:space="preserve">the creative financing track for subnational projects</w:t>
        </w:r>
      </w:hyperlink>
      <w:r>
        <w:t xml:space="preserve">.</w:t>
      </w:r>
    </w:p>
    <w:p>
      <w:pPr>
        <w:pStyle w:val="Compact"/>
        <w:numPr>
          <w:ilvl w:val="0"/>
          <w:numId w:val="1003"/>
        </w:numPr>
      </w:pPr>
      <w:r>
        <w:rPr>
          <w:b/>
          <w:bCs/>
        </w:rPr>
        <w:t xml:space="preserve">Demonstrated signings.</w:t>
      </w:r>
      <w:r>
        <w:t xml:space="preserve"> </w:t>
      </w:r>
      <w:r>
        <w:t xml:space="preserve">Ask how many guarantee agreements, undertakings, or revenue-sharing arrangements have been executed, and in which sectors.</w:t>
      </w:r>
    </w:p>
    <w:p>
      <w:pPr>
        <w:pStyle w:val="Compact"/>
        <w:numPr>
          <w:ilvl w:val="0"/>
          <w:numId w:val="1003"/>
        </w:numPr>
      </w:pPr>
      <w:r>
        <w:rPr>
          <w:b/>
          <w:bCs/>
        </w:rPr>
        <w:t xml:space="preserve">Claims history.</w:t>
      </w:r>
      <w:r>
        <w:t xml:space="preserve"> </w:t>
      </w:r>
      <w:r>
        <w:t xml:space="preserve">No source reviewed for this article records a payout under any of the three mechanisms. Nobody should assume a tested claims process.</w:t>
      </w:r>
    </w:p>
    <w:p>
      <w:pPr>
        <w:pStyle w:val="FirstParagraph"/>
      </w:pPr>
      <w:r>
        <w:t xml:space="preserve">Ratings move separately. Fitch affirmed Indonesia’s guarantee company at BBB, F2 and AAA(idn) with a Stable Outlook on 12 February 2026; on 4 March 2026 it revised Indonesia’s sovereign Outlook to Negative while affirming the sovereign at BBB. No company-specific action has been published since, so both dates travel together.</w:t>
      </w:r>
    </w:p>
    <w:p>
      <w:pPr>
        <w:pStyle w:val="BodyText"/>
      </w:pPr>
      <w:r>
        <w:t xml:space="preserve">Choosing a market from a comparison table is a mistake, including this one.</w:t>
      </w:r>
    </w:p>
    <w:bookmarkEnd w:id="29"/>
    <w:bookmarkStart w:id="36" w:name="faq-frequently-asked-questions"/>
    <w:p>
      <w:pPr>
        <w:pStyle w:val="Heading2"/>
      </w:pPr>
      <w:r>
        <w:t xml:space="preserve">FAQ (Frequently Asked Questions)</w:t>
      </w:r>
    </w:p>
    <w:bookmarkStart w:id="30" w:name="X6d2f06cff136926b0d6e35c0a14f0055e953e92"/>
    <w:p>
      <w:pPr>
        <w:pStyle w:val="Heading3"/>
      </w:pPr>
      <w:r>
        <w:t xml:space="preserve">What is a national public private partnership framework?</w:t>
      </w:r>
    </w:p>
    <w:p>
      <w:pPr>
        <w:pStyle w:val="FirstParagraph"/>
      </w:pPr>
      <w:r>
        <w:t xml:space="preserve">It is the combination of statute, responsible institution, support instruments, and contingent-liability management a government uses to share infrastructure risk with private investors. Indonesia guarantees through a separately capitalised company under Perpres 78/2010; the Philippines (2023) and Vietnam (2021) chose different architectures.</w:t>
      </w:r>
    </w:p>
    <w:bookmarkEnd w:id="30"/>
    <w:bookmarkStart w:id="31" w:name="X667f7a4953d1839c270291ed24caee002564aa4"/>
    <w:p>
      <w:pPr>
        <w:pStyle w:val="Heading3"/>
      </w:pPr>
      <w:r>
        <w:t xml:space="preserve">How does Indonesia’s public private partnership framework compare with the Philippines’ and Vietnam’s?</w:t>
      </w:r>
    </w:p>
    <w:p>
      <w:pPr>
        <w:pStyle w:val="FirstParagraph"/>
      </w:pPr>
      <w:r>
        <w:t xml:space="preserve">Indonesia issues guarantees through a separately capitalised state company under Perpres 78/2010. The Philippines backs statutory guarantees with a budget-funded PPP Risk Management Fund under Republic Act No. 11966, effective 23 December 2023. Vietnam codifies revenue sharing in Law No. 64/2020/QH14, effective 1 January 2021.</w:t>
      </w:r>
    </w:p>
    <w:bookmarkEnd w:id="31"/>
    <w:bookmarkStart w:id="32" w:name="X13acef34045e129396df0e3d0be5f27b24104af"/>
    <w:p>
      <w:pPr>
        <w:pStyle w:val="Heading3"/>
      </w:pPr>
      <w:r>
        <w:t xml:space="preserve">What is the legal basis for Indonesia’s public private partnership guarantee scheme?</w:t>
      </w:r>
    </w:p>
    <w:p>
      <w:pPr>
        <w:pStyle w:val="FirstParagraph"/>
      </w:pPr>
      <w:r>
        <w:t xml:space="preserve">Perpres No. 38 of 2015 is the primary basis for KPBU project delivery, and Perpres No. 78 of 2010 established infrastructure guarantees through a Badan Usaha Penjaminan Infrastruktur. PMK No. 68 of 2024, effective 18 October 2024, consolidated the guarantee, viability gap funding, availability payment, and project-preparation instruments.</w:t>
      </w:r>
    </w:p>
    <w:bookmarkEnd w:id="32"/>
    <w:bookmarkStart w:id="33" w:name="X59b7cd3d481f6bf29c591ae19f9a97a8e9a5276"/>
    <w:p>
      <w:pPr>
        <w:pStyle w:val="Heading3"/>
      </w:pPr>
      <w:r>
        <w:t xml:space="preserve">What is the Philippines’ PPP Risk Management Fund?</w:t>
      </w:r>
    </w:p>
    <w:p>
      <w:pPr>
        <w:pStyle w:val="FirstParagraph"/>
      </w:pPr>
      <w:r>
        <w:t xml:space="preserve">Created by Section 27 of Republic Act No. 11966, the PPP Code effective 23 December 2023, it meets contingent liabilities from public private partnership contracts. It draws on general appropriations, PPP project income, and other sources set by the Development Budget Coordination Committee.</w:t>
      </w:r>
    </w:p>
    <w:bookmarkEnd w:id="33"/>
    <w:bookmarkStart w:id="34" w:name="X1899bf077d8e3bcb51b599edf59aac8dba96e27"/>
    <w:p>
      <w:pPr>
        <w:pStyle w:val="Heading3"/>
      </w:pPr>
      <w:r>
        <w:t xml:space="preserve">How does revenue sharing work under Vietnam’s public private partnership law?</w:t>
      </w:r>
    </w:p>
    <w:p>
      <w:pPr>
        <w:pStyle w:val="FirstParagraph"/>
      </w:pPr>
      <w:r>
        <w:t xml:space="preserve">Under Article 82 of Law No. 64/2020/QH14, effective 1 January 2021, revenue above 125% of the project’s financial-plan forecast is shared equally with the State, and revenue below 75% triggers State cover for half the shortfall. A foreign-exchange balance guarantee is capped at 30% of project revenue.</w:t>
      </w:r>
    </w:p>
    <w:bookmarkEnd w:id="34"/>
    <w:bookmarkStart w:id="35" w:name="X5e76662a39d6273714858315908a9ad9674d9ab"/>
    <w:p>
      <w:pPr>
        <w:pStyle w:val="Heading3"/>
      </w:pPr>
      <w:r>
        <w:t xml:space="preserve">Which Southeast Asian country has the strongest public private partnership framework?</w:t>
      </w:r>
    </w:p>
    <w:p>
      <w:pPr>
        <w:pStyle w:val="FirstParagraph"/>
      </w:pPr>
      <w:r>
        <w:t xml:space="preserve">There is no single answer, because each design solves a different problem. A ring-fenced guarantee company shields the state budget from claim shocks; a statutory fund names the instrument in primary law; a codified formula removes negotiation. Execution matters more than drafting.</w:t>
      </w:r>
    </w:p>
    <w:bookmarkEnd w:id="35"/>
    <w:bookmarkEnd w:id="36"/>
    <w:bookmarkStart w:id="37" w:name="conclusion"/>
    <w:p>
      <w:pPr>
        <w:pStyle w:val="Heading2"/>
      </w:pPr>
      <w:r>
        <w:t xml:space="preserve">Conclusion</w:t>
      </w:r>
    </w:p>
    <w:p>
      <w:pPr>
        <w:pStyle w:val="FirstParagraph"/>
      </w:pPr>
      <w:r>
        <w:t xml:space="preserve">The public private partnership architecture a country chooses tells you where its contingent liabilities sit, not how quickly projects reach financial close. That is settled in project preparation rooms rather than statute books. As the Badan Usaha Penjaminan Infrastruktur under the Ministry of Finance, PT PII issues and structures the Government Guarantee over risks on the government’s side of a KPBU contract. Sponsors weighing Indonesia against its neighbours usually find that conversation more useful than a table.</w:t>
      </w:r>
    </w:p>
    <w:p>
      <w:pPr>
        <w:pStyle w:val="BodyText"/>
      </w:pPr>
      <w:r>
        <w:t xml:space="preserve">Readers who want the guarantee mechanics behind the Indonesia column, rather than the comparison, can explore them at ptpii.co.id.</w:t>
      </w:r>
    </w:p>
    <w:bookmarkEnd w:id="37"/>
    <w:bookmarkEnd w:id="3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jdih.lkpp.go.id/regulation/peraturan-lkpp/peraturan-lkpp-nomor-1-tahun-2026" TargetMode="External" /><Relationship Type="http://schemas.openxmlformats.org/officeDocument/2006/relationships/hyperlink" Id="rId23" Target="https://lawphil.net/statutes/repacts/ra2023/ra_11966_2023.html" TargetMode="External" /><Relationship Type="http://schemas.openxmlformats.org/officeDocument/2006/relationships/hyperlink" Id="rId19" Target="https://www.adb.org/publications/public-private-partnership-monitor-indonesia" TargetMode="External" /><Relationship Type="http://schemas.openxmlformats.org/officeDocument/2006/relationships/hyperlink" Id="rId25" Target="https://www.kingandwood.com/global/en/insights/latest-thinking/public-private-partnerships-in-asia-vietnam-guide-2025.html" TargetMode="External" /><Relationship Type="http://schemas.openxmlformats.org/officeDocument/2006/relationships/hyperlink" Id="rId21" Target="https://www.ptpii.co.id/kpbu" TargetMode="External" /><Relationship Type="http://schemas.openxmlformats.org/officeDocument/2006/relationships/hyperlink" Id="rId28" Target="https://www.ptpii.co.id/pembiayaan-kreatif" TargetMode="External" /><Relationship Type="http://schemas.openxmlformats.org/officeDocument/2006/relationships/hyperlink" Id="rId17" Target="https://www.ptpii.co.id/public-private-partnership" TargetMode="External" /></Relationships>
</file>

<file path=word/_rels/footnotes.xml.rels><?xml version="1.0" encoding="UTF-8"?><Relationships xmlns="http://schemas.openxmlformats.org/package/2006/relationships"><Relationship Type="http://schemas.openxmlformats.org/officeDocument/2006/relationships/hyperlink" Id="rId20" Target="https://jdih.lkpp.go.id/regulation/peraturan-lkpp/peraturan-lkpp-nomor-1-tahun-2026" TargetMode="External" /><Relationship Type="http://schemas.openxmlformats.org/officeDocument/2006/relationships/hyperlink" Id="rId23" Target="https://lawphil.net/statutes/repacts/ra2023/ra_11966_2023.html" TargetMode="External" /><Relationship Type="http://schemas.openxmlformats.org/officeDocument/2006/relationships/hyperlink" Id="rId19" Target="https://www.adb.org/publications/public-private-partnership-monitor-indonesia" TargetMode="External" /><Relationship Type="http://schemas.openxmlformats.org/officeDocument/2006/relationships/hyperlink" Id="rId25" Target="https://www.kingandwood.com/global/en/insights/latest-thinking/public-private-partnerships-in-asia-vietnam-guide-2025.html" TargetMode="External" /><Relationship Type="http://schemas.openxmlformats.org/officeDocument/2006/relationships/hyperlink" Id="rId21" Target="https://www.ptpii.co.id/kpbu" TargetMode="External" /><Relationship Type="http://schemas.openxmlformats.org/officeDocument/2006/relationships/hyperlink" Id="rId28" Target="https://www.ptpii.co.id/pembiayaan-kreatif" TargetMode="External" /><Relationship Type="http://schemas.openxmlformats.org/officeDocument/2006/relationships/hyperlink" Id="rId17" Target="https://www.ptpii.co.id/public-private-partnership"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2026-09-22T01:19:55Z</dcterms:created>
  <dcterms:modified xsi:type="dcterms:W3CDTF">2026-09-22T01:19:55Z</dcterms:modified>
</cp:coreProperties>
</file>

<file path=docProps/custom.xml><?xml version="1.0" encoding="utf-8"?>
<Properties xmlns="http://schemas.openxmlformats.org/officeDocument/2006/custom-properties" xmlns:vt="http://schemas.openxmlformats.org/officeDocument/2006/docPropsVTypes"/>
</file>