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rticle-metadata"/>
    <w:p>
      <w:pPr>
        <w:pStyle w:val="Heading1"/>
      </w:pPr>
      <w:r>
        <w:t xml:space="preserve">Article Metadata</w:t>
      </w:r>
    </w:p>
    <w:p>
      <w:pPr>
        <w:pStyle w:val="SourceCode"/>
      </w:pPr>
      <w:r>
        <w:rPr>
          <w:rStyle w:val="FunctionTok"/>
        </w:rPr>
        <w:t xml:space="preserve">title</w:t>
      </w:r>
      <w:r>
        <w:rPr>
          <w:rStyle w:val="KeywordTok"/>
        </w:rPr>
        <w:t xml:space="preserve">:</w:t>
      </w:r>
      <w:r>
        <w:rPr>
          <w:rStyle w:val="AttributeTok"/>
        </w:rPr>
        <w:t xml:space="preserve"> </w:t>
      </w:r>
      <w:r>
        <w:rPr>
          <w:rStyle w:val="StringTok"/>
        </w:rPr>
        <w:t xml:space="preserve">"Apa Itu Employee Retention dan Strategi Mempertahankan Karyawan"</w:t>
      </w:r>
      <w:r>
        <w:br/>
      </w:r>
      <w:r>
        <w:rPr>
          <w:rStyle w:val="FunctionTok"/>
        </w:rPr>
        <w:t xml:space="preserve">meta_title</w:t>
      </w:r>
      <w:r>
        <w:rPr>
          <w:rStyle w:val="KeywordTok"/>
        </w:rPr>
        <w:t xml:space="preserve">:</w:t>
      </w:r>
      <w:r>
        <w:rPr>
          <w:rStyle w:val="AttributeTok"/>
        </w:rPr>
        <w:t xml:space="preserve"> </w:t>
      </w:r>
      <w:r>
        <w:rPr>
          <w:rStyle w:val="StringTok"/>
        </w:rPr>
        <w:t xml:space="preserve">"Employee Retention: Arti &amp; Strategi Mempertahankan Karyawan"</w:t>
      </w:r>
      <w:r>
        <w:br/>
      </w:r>
      <w:r>
        <w:rPr>
          <w:rStyle w:val="FunctionTok"/>
        </w:rPr>
        <w:t xml:space="preserve">meta_description</w:t>
      </w:r>
      <w:r>
        <w:rPr>
          <w:rStyle w:val="KeywordTok"/>
        </w:rPr>
        <w:t xml:space="preserve">:</w:t>
      </w:r>
      <w:r>
        <w:rPr>
          <w:rStyle w:val="AttributeTok"/>
        </w:rPr>
        <w:t xml:space="preserve"> </w:t>
      </w:r>
      <w:r>
        <w:rPr>
          <w:rStyle w:val="StringTok"/>
        </w:rPr>
        <w:t xml:space="preserve">"Employee retention adalah kunci menekan biaya penggantian karyawan hingga 200% gaji. Pelajari 5 strategi retensi, rumus retention rate, dan people analytics."</w:t>
      </w:r>
      <w:r>
        <w:br/>
      </w:r>
      <w:r>
        <w:rPr>
          <w:rStyle w:val="FunctionTok"/>
        </w:rPr>
        <w:t xml:space="preserve">slug</w:t>
      </w:r>
      <w:r>
        <w:rPr>
          <w:rStyle w:val="KeywordTok"/>
        </w:rPr>
        <w:t xml:space="preserve">:</w:t>
      </w:r>
      <w:r>
        <w:rPr>
          <w:rStyle w:val="AttributeTok"/>
        </w:rPr>
        <w:t xml:space="preserve"> </w:t>
      </w:r>
      <w:r>
        <w:rPr>
          <w:rStyle w:val="StringTok"/>
        </w:rPr>
        <w:t xml:space="preserve">"employee-retention-strategi-mempertahankan-karyawan"</w:t>
      </w:r>
      <w:r>
        <w:br/>
      </w:r>
      <w:r>
        <w:rPr>
          <w:rStyle w:val="FunctionTok"/>
        </w:rPr>
        <w:t xml:space="preserve">language</w:t>
      </w:r>
      <w:r>
        <w:rPr>
          <w:rStyle w:val="KeywordTok"/>
        </w:rPr>
        <w:t xml:space="preserve">:</w:t>
      </w:r>
      <w:r>
        <w:rPr>
          <w:rStyle w:val="AttributeTok"/>
        </w:rPr>
        <w:t xml:space="preserve"> </w:t>
      </w:r>
      <w:r>
        <w:rPr>
          <w:rStyle w:val="StringTok"/>
        </w:rPr>
        <w:t xml:space="preserve">"id"</w:t>
      </w:r>
      <w:r>
        <w:br/>
      </w:r>
      <w:r>
        <w:rPr>
          <w:rStyle w:val="FunctionTok"/>
        </w:rPr>
        <w:t xml:space="preserve">primary_keyword</w:t>
      </w:r>
      <w:r>
        <w:rPr>
          <w:rStyle w:val="KeywordTok"/>
        </w:rPr>
        <w:t xml:space="preserve">:</w:t>
      </w:r>
      <w:r>
        <w:rPr>
          <w:rStyle w:val="AttributeTok"/>
        </w:rPr>
        <w:t xml:space="preserve"> </w:t>
      </w:r>
      <w:r>
        <w:rPr>
          <w:rStyle w:val="StringTok"/>
        </w:rPr>
        <w:t xml:space="preserve">"employee retention"</w:t>
      </w:r>
      <w:r>
        <w:br/>
      </w:r>
      <w:r>
        <w:rPr>
          <w:rStyle w:val="FunctionTok"/>
        </w:rPr>
        <w:t xml:space="preserve">secondary_keywords</w:t>
      </w:r>
      <w:r>
        <w:rPr>
          <w:rStyle w:val="KeywordTok"/>
        </w:rPr>
        <w:t xml:space="preserve">:</w:t>
      </w:r>
      <w:r>
        <w:rPr>
          <w:rStyle w:val="AttributeTok"/>
        </w:rPr>
        <w:t xml:space="preserve"> </w:t>
      </w:r>
      <w:r>
        <w:rPr>
          <w:rStyle w:val="KeywordTok"/>
        </w:rPr>
        <w:t xml:space="preserve">[</w:t>
      </w:r>
      <w:r>
        <w:rPr>
          <w:rStyle w:val="StringTok"/>
        </w:rPr>
        <w:t xml:space="preserve">"strategi retensi karyawan"</w:t>
      </w:r>
      <w:r>
        <w:rPr>
          <w:rStyle w:val="KeywordTok"/>
        </w:rPr>
        <w:t xml:space="preserve">,</w:t>
      </w:r>
      <w:r>
        <w:rPr>
          <w:rStyle w:val="AttributeTok"/>
        </w:rPr>
        <w:t xml:space="preserve"> </w:t>
      </w:r>
      <w:r>
        <w:rPr>
          <w:rStyle w:val="StringTok"/>
        </w:rPr>
        <w:t xml:space="preserve">"retensi karyawan adalah"</w:t>
      </w:r>
      <w:r>
        <w:rPr>
          <w:rStyle w:val="KeywordTok"/>
        </w:rPr>
        <w:t xml:space="preserve">,</w:t>
      </w:r>
      <w:r>
        <w:rPr>
          <w:rStyle w:val="AttributeTok"/>
        </w:rPr>
        <w:t xml:space="preserve"> </w:t>
      </w:r>
      <w:r>
        <w:rPr>
          <w:rStyle w:val="StringTok"/>
        </w:rPr>
        <w:t xml:space="preserve">"employee retention rate"</w:t>
      </w:r>
      <w:r>
        <w:rPr>
          <w:rStyle w:val="KeywordTok"/>
        </w:rPr>
        <w:t xml:space="preserve">,</w:t>
      </w:r>
      <w:r>
        <w:rPr>
          <w:rStyle w:val="AttributeTok"/>
        </w:rPr>
        <w:t xml:space="preserve"> </w:t>
      </w:r>
      <w:r>
        <w:rPr>
          <w:rStyle w:val="StringTok"/>
        </w:rPr>
        <w:t xml:space="preserve">"cara mempertahankan karyawan terbaik"</w:t>
      </w:r>
      <w:r>
        <w:rPr>
          <w:rStyle w:val="KeywordTok"/>
        </w:rPr>
        <w:t xml:space="preserve">,</w:t>
      </w:r>
      <w:r>
        <w:rPr>
          <w:rStyle w:val="AttributeTok"/>
        </w:rPr>
        <w:t xml:space="preserve"> </w:t>
      </w:r>
      <w:r>
        <w:rPr>
          <w:rStyle w:val="StringTok"/>
        </w:rPr>
        <w:t xml:space="preserve">"employee engagement"</w:t>
      </w:r>
      <w:r>
        <w:rPr>
          <w:rStyle w:val="KeywordTok"/>
        </w:rPr>
        <w:t xml:space="preserve">,</w:t>
      </w:r>
      <w:r>
        <w:rPr>
          <w:rStyle w:val="AttributeTok"/>
        </w:rPr>
        <w:t xml:space="preserve"> </w:t>
      </w:r>
      <w:r>
        <w:rPr>
          <w:rStyle w:val="StringTok"/>
        </w:rPr>
        <w:t xml:space="preserve">"onboarding karyawan baru"</w:t>
      </w:r>
      <w:r>
        <w:rPr>
          <w:rStyle w:val="KeywordTok"/>
        </w:rPr>
        <w:t xml:space="preserve">,</w:t>
      </w:r>
      <w:r>
        <w:rPr>
          <w:rStyle w:val="AttributeTok"/>
        </w:rPr>
        <w:t xml:space="preserve"> </w:t>
      </w:r>
      <w:r>
        <w:rPr>
          <w:rStyle w:val="StringTok"/>
        </w:rPr>
        <w:t xml:space="preserve">"people analytics"</w:t>
      </w:r>
      <w:r>
        <w:rPr>
          <w:rStyle w:val="KeywordTok"/>
        </w:rPr>
        <w:t xml:space="preserve">,</w:t>
      </w:r>
      <w:r>
        <w:rPr>
          <w:rStyle w:val="AttributeTok"/>
        </w:rPr>
        <w:t xml:space="preserve"> </w:t>
      </w:r>
      <w:r>
        <w:rPr>
          <w:rStyle w:val="StringTok"/>
        </w:rPr>
        <w:t xml:space="preserve">"stay interview"</w:t>
      </w:r>
      <w:r>
        <w:rPr>
          <w:rStyle w:val="KeywordTok"/>
        </w:rPr>
        <w:t xml:space="preserve">]</w:t>
      </w:r>
      <w:r>
        <w:br/>
      </w:r>
      <w:r>
        <w:rPr>
          <w:rStyle w:val="FunctionTok"/>
        </w:rPr>
        <w:t xml:space="preserve">internal_links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"https://www.soltius.co.id/solutions-by-products/human-capital-management-system"</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"solusi Human Capital Management"</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"https://www.soltius.co.id/solutions-by-products/reading/success-factors"</w:t>
      </w:r>
      <w:r>
        <w:br/>
      </w:r>
      <w:r>
        <w:rPr>
          <w:rStyle w:val="AttributeTok"/>
        </w:rPr>
        <w:t xml:space="preserve">    </w:t>
      </w:r>
      <w:r>
        <w:rPr>
          <w:rStyle w:val="FunctionTok"/>
        </w:rPr>
        <w:t xml:space="preserve">anchor</w:t>
      </w:r>
      <w:r>
        <w:rPr>
          <w:rStyle w:val="KeywordTok"/>
        </w:rPr>
        <w:t xml:space="preserve">:</w:t>
      </w:r>
      <w:r>
        <w:rPr>
          <w:rStyle w:val="AttributeTok"/>
        </w:rPr>
        <w:t xml:space="preserve"> </w:t>
      </w:r>
      <w:r>
        <w:rPr>
          <w:rStyle w:val="StringTok"/>
        </w:rPr>
        <w:t xml:space="preserve">"SAP SuccessFactors"</w:t>
      </w:r>
      <w:r>
        <w:br/>
      </w:r>
      <w:r>
        <w:rPr>
          <w:rStyle w:val="FunctionTok"/>
        </w:rPr>
        <w:t xml:space="preserve">external_citations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"https://www.gallup.com/workplace/646538/employee-turnover-preventable-often-ignored.aspx"</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"Biaya penggantian karyawan per peran (frontliner ~40%, teknis ~80%, manajer ~200% gaji tahunan); 42% kepergian sukarela bisa dicegah; 45% tanpa percakapan proaktif (Gallup, 2024, diperbarui Feb 2026)"</w:t>
      </w:r>
      <w:r>
        <w:br/>
      </w:r>
      <w:r>
        <w:rPr>
          <w:rStyle w:val="AttributeTok"/>
        </w:rPr>
        <w:t xml:space="preserve">  </w:t>
      </w:r>
      <w:r>
        <w:rPr>
          <w:rStyle w:val="KeywordTok"/>
        </w:rPr>
        <w:t xml:space="preserve">-</w:t>
      </w:r>
      <w:r>
        <w:rPr>
          <w:rStyle w:val="AttributeTok"/>
        </w:rPr>
        <w:t xml:space="preserve"> </w:t>
      </w:r>
      <w:r>
        <w:rPr>
          <w:rStyle w:val="FunctionTok"/>
        </w:rPr>
        <w:t xml:space="preserve">url</w:t>
      </w:r>
      <w:r>
        <w:rPr>
          <w:rStyle w:val="KeywordTok"/>
        </w:rPr>
        <w:t xml:space="preserve">:</w:t>
      </w:r>
      <w:r>
        <w:rPr>
          <w:rStyle w:val="AttributeTok"/>
        </w:rPr>
        <w:t xml:space="preserve"> </w:t>
      </w:r>
      <w:r>
        <w:rPr>
          <w:rStyle w:val="StringTok"/>
        </w:rPr>
        <w:t xml:space="preserve">"https://learning.linkedin.com/content/dam/me/business/en-us/amp/learning-solutions/images/workplace-learning-report-2019/pdf/workplace-learning-report-2019.pdf"</w:t>
      </w:r>
      <w:r>
        <w:br/>
      </w:r>
      <w:r>
        <w:rPr>
          <w:rStyle w:val="AttributeTok"/>
        </w:rPr>
        <w:t xml:space="preserve">    </w:t>
      </w:r>
      <w:r>
        <w:rPr>
          <w:rStyle w:val="FunctionTok"/>
        </w:rPr>
        <w:t xml:space="preserve">context</w:t>
      </w:r>
      <w:r>
        <w:rPr>
          <w:rStyle w:val="KeywordTok"/>
        </w:rPr>
        <w:t xml:space="preserve">:</w:t>
      </w:r>
      <w:r>
        <w:rPr>
          <w:rStyle w:val="AttributeTok"/>
        </w:rPr>
        <w:t xml:space="preserve"> </w:t>
      </w:r>
      <w:r>
        <w:rPr>
          <w:rStyle w:val="StringTok"/>
        </w:rPr>
        <w:t xml:space="preserve">"94% karyawan bertahan lebih lama bila perusahaan berinvestasi pada pembelajaran (LinkedIn Workplace Learning Report 2019)"</w:t>
      </w:r>
      <w:r>
        <w:br/>
      </w:r>
      <w:r>
        <w:rPr>
          <w:rStyle w:val="FunctionTok"/>
        </w:rPr>
        <w:t xml:space="preserve">brief_id</w:t>
      </w:r>
      <w:r>
        <w:rPr>
          <w:rStyle w:val="KeywordTok"/>
        </w:rPr>
        <w:t xml:space="preserve">:</w:t>
      </w:r>
      <w:r>
        <w:rPr>
          <w:rStyle w:val="AttributeTok"/>
        </w:rPr>
        <w:t xml:space="preserve"> </w:t>
      </w:r>
      <w:r>
        <w:rPr>
          <w:rStyle w:val="StringTok"/>
        </w:rPr>
        <w:t xml:space="preserve">"employee-retention-c01"</w:t>
      </w:r>
      <w:r>
        <w:br/>
      </w:r>
      <w:r>
        <w:rPr>
          <w:rStyle w:val="FunctionTok"/>
        </w:rPr>
        <w:t xml:space="preserve">target_word_count</w:t>
      </w:r>
      <w:r>
        <w:rPr>
          <w:rStyle w:val="KeywordTok"/>
        </w:rPr>
        <w:t xml:space="preserve">:</w:t>
      </w:r>
      <w:r>
        <w:rPr>
          <w:rStyle w:val="AttributeTok"/>
        </w:rPr>
        <w:t xml:space="preserve"> </w:t>
      </w:r>
      <w:r>
        <w:rPr>
          <w:rStyle w:val="DecValTok"/>
        </w:rPr>
        <w:t xml:space="preserve">900</w:t>
      </w:r>
      <w:r>
        <w:br/>
      </w:r>
      <w:r>
        <w:rPr>
          <w:rStyle w:val="FunctionTok"/>
        </w:rPr>
        <w:t xml:space="preserve">publish_month</w:t>
      </w:r>
      <w:r>
        <w:rPr>
          <w:rStyle w:val="KeywordTok"/>
        </w:rPr>
        <w:t xml:space="preserve">:</w:t>
      </w:r>
      <w:r>
        <w:rPr>
          <w:rStyle w:val="AttributeTok"/>
        </w:rPr>
        <w:t xml:space="preserve"> </w:t>
      </w:r>
      <w:r>
        <w:rPr>
          <w:rStyle w:val="StringTok"/>
        </w:rPr>
        <w:t xml:space="preserve">"2026-07"</w:t>
      </w:r>
      <w:r>
        <w:br/>
      </w:r>
      <w:r>
        <w:rPr>
          <w:rStyle w:val="FunctionTok"/>
        </w:rPr>
        <w:t xml:space="preserve">date_modified</w:t>
      </w:r>
      <w:r>
        <w:rPr>
          <w:rStyle w:val="KeywordTok"/>
        </w:rPr>
        <w:t xml:space="preserve">:</w:t>
      </w:r>
      <w:r>
        <w:rPr>
          <w:rStyle w:val="AttributeTok"/>
        </w:rPr>
        <w:t xml:space="preserve"> </w:t>
      </w:r>
      <w:r>
        <w:rPr>
          <w:rStyle w:val="StringTok"/>
        </w:rPr>
        <w:t xml:space="preserve">"2026-07-06"</w:t>
      </w:r>
      <w:r>
        <w:br/>
      </w:r>
      <w:r>
        <w:rPr>
          <w:rStyle w:val="FunctionTok"/>
        </w:rPr>
        <w:t xml:space="preserve">word_count</w:t>
      </w:r>
      <w:r>
        <w:rPr>
          <w:rStyle w:val="KeywordTok"/>
        </w:rPr>
        <w:t xml:space="preserve">:</w:t>
      </w:r>
      <w:r>
        <w:rPr>
          <w:rStyle w:val="AttributeTok"/>
        </w:rPr>
        <w:t xml:space="preserve"> </w:t>
      </w:r>
      <w:r>
        <w:rPr>
          <w:rStyle w:val="DecValTok"/>
        </w:rPr>
        <w:t xml:space="preserve">944</w:t>
      </w:r>
    </w:p>
    <w:p>
      <w:r>
        <w:pict>
          <v:rect style="width:0;height:1.5pt" o:hralign="center" o:hrstd="t" o:hr="t"/>
        </w:pict>
      </w:r>
    </w:p>
    <w:bookmarkEnd w:id="16"/>
    <w:bookmarkStart w:id="28" w:name="Xb7d27a4465ef92801a803b88ba8b390a7ecca1c"/>
    <w:p>
      <w:pPr>
        <w:pStyle w:val="Heading1"/>
      </w:pPr>
      <w:r>
        <w:t xml:space="preserve">Apa Itu Employee Retention dan Strategi Mempertahankan Karyawan</w:t>
      </w:r>
    </w:p>
    <w:p>
      <w:pPr>
        <w:pStyle w:val="FirstParagraph"/>
      </w:pPr>
      <w:r>
        <w:t xml:space="preserve">Talenta terbaik jarang pergi mendadak. Mereka menimbang tawaran kompetitor selama berbulan-bulan, sementara banyak perusahaan baru bereaksi di minggu-minggu terakhir masa kerja. Gallup mencatat 42% karyawan yang resign sukarela merasa kepergian mereka sebenarnya bisa dicegah. Artikel ini membahas</w:t>
      </w:r>
      <w:r>
        <w:t xml:space="preserve"> </w:t>
      </w:r>
      <w:r>
        <w:rPr>
          <w:b/>
          <w:bCs/>
        </w:rPr>
        <w:t xml:space="preserve">employee retention</w:t>
      </w:r>
      <w:r>
        <w:t xml:space="preserve"> </w:t>
      </w:r>
      <w:r>
        <w:t xml:space="preserve">dari sisi yang jarang digarap artikel sejenis: biaya penggantian per peran, lima strategi retensi karyawan dengan indikator terukur, rumus retention rate, serta peran</w:t>
      </w:r>
      <w:r>
        <w:t xml:space="preserve"> </w:t>
      </w:r>
      <w:hyperlink r:id="rId17">
        <w:r>
          <w:rPr>
            <w:rStyle w:val="Hyperlink"/>
          </w:rPr>
          <w:t xml:space="preserve">solusi Human Capital Management</w:t>
        </w:r>
      </w:hyperlink>
      <w:r>
        <w:t xml:space="preserve"> </w:t>
      </w:r>
      <w:r>
        <w:t xml:space="preserve">dan people analytics dalam mendeteksi risiko lebih dini.</w:t>
      </w:r>
    </w:p>
    <w:p>
      <w:pPr>
        <w:pStyle w:val="BlockText"/>
      </w:pPr>
      <w:r>
        <w:rPr>
          <w:b/>
          <w:bCs/>
        </w:rPr>
        <w:t xml:space="preserve">Ringkasnya:</w:t>
      </w:r>
      <w:r>
        <w:t xml:space="preserve"> </w:t>
      </w:r>
      <w:r>
        <w:t xml:space="preserve">employee retention adalah kemampuan perusahaan mempertahankan karyawannya, terutama talenta terbaik, agar tidak pindah ke perusahaan lain dalam periode tertentu. Keberhasilannya diukur lewat retention rate, persentase karyawan yang bertahan dibanding jumlah awal periode, kebalikan dari turnover. Retensi yang baik dibangun lewat strategi proaktif, bukan reaksi setelah surat resign masuk.</w:t>
      </w:r>
    </w:p>
    <w:bookmarkStart w:id="18" w:name="X352d1bee8f83e5339a29dea61cfbcc244786f58"/>
    <w:p>
      <w:pPr>
        <w:pStyle w:val="Heading2"/>
      </w:pPr>
      <w:r>
        <w:t xml:space="preserve">Mengapa Employee Retention Menentukan Biaya dan Kinerja Perusahaan?</w:t>
      </w:r>
    </w:p>
    <w:p>
      <w:pPr>
        <w:pStyle w:val="FirstParagraph"/>
      </w:pPr>
      <w:r>
        <w:t xml:space="preserve">Karena mengganti karyawan jauh lebih mahal daripada mempertahankannya. Gallup memperkirakan biaya penggantian karyawan</w:t>
      </w:r>
      <w:r>
        <w:t xml:space="preserve"> </w:t>
      </w:r>
      <w:r>
        <w:rPr>
          <w:i/>
          <w:iCs/>
        </w:rPr>
        <w:t xml:space="preserve">frontliner</w:t>
      </w:r>
      <w:r>
        <w:t xml:space="preserve"> </w:t>
      </w:r>
      <w:r>
        <w:t xml:space="preserve">sekitar 40% gaji tahunannya, profesional teknis sekitar 80%, dan pemimpin atau manajer hingga 200% (Gallup, 2024). Di luar angka itu masih ada kerugian yang sulit dihitung: pengetahuan yang ikut pergi, beban tim yang ditinggalkan, dan moral yang menurun.</w:t>
      </w:r>
    </w:p>
    <w:p>
      <w:pPr>
        <w:pStyle w:val="BodyText"/>
      </w:pPr>
      <w:r>
        <w:t xml:space="preserve">Konteksnya menambah urgensi. Gallup State of the Global Workplace mencatat</w:t>
      </w:r>
      <w:r>
        <w:t xml:space="preserve"> </w:t>
      </w:r>
      <w:r>
        <w:rPr>
          <w:i/>
          <w:iCs/>
        </w:rPr>
        <w:t xml:space="preserve">engagement</w:t>
      </w:r>
      <w:r>
        <w:t xml:space="preserve"> </w:t>
      </w:r>
      <w:r>
        <w:t xml:space="preserve">(keterikatan karyawan) global turun ke 20% pada 2025, terendah sejak 2020. Mayoritas alasan kepergian pun bisa dikendalikan perusahaan: pengembangan karier, hubungan dengan manajer, dan keseimbangan kerja, bukan semata gaji.</w:t>
      </w:r>
    </w:p>
    <w:p>
      <w:pPr>
        <w:pStyle w:val="BodyText"/>
      </w:pPr>
      <w:r>
        <w:t xml:space="preserve">Itulah premis strategi retensi: hampir separuh kepergian masih bisa dicegah bila perusahaan bertindak sebelum karyawan mulai mencari.</w:t>
      </w:r>
    </w:p>
    <w:bookmarkEnd w:id="18"/>
    <w:bookmarkStart w:id="19" w:name="X62b6d8cd7621562104af7971f0e821a75944021"/>
    <w:p>
      <w:pPr>
        <w:pStyle w:val="Heading2"/>
      </w:pPr>
      <w:r>
        <w:t xml:space="preserve">5 Strategi Retensi Karyawan yang Terbukti Efektif</w:t>
      </w:r>
    </w:p>
    <w:p>
      <w:pPr>
        <w:pStyle w:val="FirstParagraph"/>
      </w:pPr>
      <w:r>
        <w:t xml:space="preserve">Lima strategi yang paling konsisten hasilnya: onboarding terstruktur 90 hari, kompensasi kompetitif, pengembangan karier dan</w:t>
      </w:r>
      <w:r>
        <w:t xml:space="preserve"> </w:t>
      </w:r>
      <w:r>
        <w:rPr>
          <w:i/>
          <w:iCs/>
        </w:rPr>
        <w:t xml:space="preserve">learning</w:t>
      </w:r>
      <w:r>
        <w:t xml:space="preserve">, manajer yang baik disertai pengakuan rutin, serta fleksibilitas dan</w:t>
      </w:r>
      <w:r>
        <w:t xml:space="preserve"> </w:t>
      </w:r>
      <w:r>
        <w:rPr>
          <w:i/>
          <w:iCs/>
        </w:rPr>
        <w:t xml:space="preserve">well-being</w:t>
      </w:r>
      <w:r>
        <w:t xml:space="preserve">. Pembedanya bukan daftarnya, melainkan disiplin memetakan tiap strategi ke wujud konkret dan indikator keberhasilan yang bisa diukur, seperti tabel berikut.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Strategi</w:t>
            </w:r>
          </w:p>
        </w:tc>
        <w:tc>
          <w:tcPr/>
          <w:p>
            <w:pPr>
              <w:pStyle w:val="Compact"/>
            </w:pPr>
            <w:r>
              <w:t xml:space="preserve">Wujud konkret</w:t>
            </w:r>
          </w:p>
        </w:tc>
        <w:tc>
          <w:tcPr/>
          <w:p>
            <w:pPr>
              <w:pStyle w:val="Compact"/>
            </w:pPr>
            <w:r>
              <w:t xml:space="preserve">Indikator keberhasilan</w:t>
            </w:r>
          </w:p>
        </w:tc>
      </w:tr>
      <w:tr>
        <w:tc>
          <w:tcPr/>
          <w:p>
            <w:pPr>
              <w:pStyle w:val="Compact"/>
            </w:pPr>
            <w:r>
              <w:t xml:space="preserve">Onboarding terstruktur 90 hari</w:t>
            </w:r>
          </w:p>
        </w:tc>
        <w:tc>
          <w:tcPr/>
          <w:p>
            <w:pPr>
              <w:pStyle w:val="Compact"/>
            </w:pPr>
            <w:r>
              <w:rPr>
                <w:i/>
                <w:iCs/>
              </w:rPr>
              <w:t xml:space="preserve">Buddy system</w:t>
            </w:r>
            <w:r>
              <w:t xml:space="preserve">; rencana kerja 30-60-90 hari</w:t>
            </w:r>
          </w:p>
        </w:tc>
        <w:tc>
          <w:tcPr/>
          <w:p>
            <w:pPr>
              <w:pStyle w:val="Compact"/>
            </w:pPr>
            <w:r>
              <w:t xml:space="preserve">Retensi karyawan baru pada 90 hari pertama</w:t>
            </w:r>
          </w:p>
        </w:tc>
      </w:tr>
      <w:tr>
        <w:tc>
          <w:tcPr/>
          <w:p>
            <w:pPr>
              <w:pStyle w:val="Compact"/>
            </w:pPr>
            <w:r>
              <w:t xml:space="preserve">Kompensasi &amp; benefit kompetitif</w:t>
            </w:r>
          </w:p>
        </w:tc>
        <w:tc>
          <w:tcPr/>
          <w:p>
            <w:pPr>
              <w:pStyle w:val="Compact"/>
            </w:pPr>
            <w:r>
              <w:t xml:space="preserve">Benchmarking gaji minimal sekali setahun; benefit fleksibel</w:t>
            </w:r>
          </w:p>
        </w:tc>
        <w:tc>
          <w:tcPr/>
          <w:p>
            <w:pPr>
              <w:pStyle w:val="Compact"/>
            </w:pPr>
            <w:r>
              <w:t xml:space="preserve">Rasio gaji terhadap pasar; persentase resign karena kompensasi</w:t>
            </w:r>
          </w:p>
        </w:tc>
      </w:tr>
      <w:tr>
        <w:tc>
          <w:tcPr/>
          <w:p>
            <w:pPr>
              <w:pStyle w:val="Compact"/>
            </w:pPr>
            <w:r>
              <w:t xml:space="preserve">Pengembangan karier &amp; learning</w:t>
            </w:r>
          </w:p>
        </w:tc>
        <w:tc>
          <w:tcPr/>
          <w:p>
            <w:pPr>
              <w:pStyle w:val="Compact"/>
            </w:pPr>
            <w:r>
              <w:t xml:space="preserve">Jalur karier jelas; akses pelatihan (94% karyawan bertahan lebih lama, LinkedIn 2019)</w:t>
            </w:r>
          </w:p>
        </w:tc>
        <w:tc>
          <w:tcPr/>
          <w:p>
            <w:pPr>
              <w:pStyle w:val="Compact"/>
            </w:pPr>
            <w:r>
              <w:t xml:space="preserve">Partisipasi program; persentase promosi internal</w:t>
            </w:r>
          </w:p>
        </w:tc>
      </w:tr>
      <w:tr>
        <w:tc>
          <w:tcPr/>
          <w:p>
            <w:pPr>
              <w:pStyle w:val="Compact"/>
            </w:pPr>
            <w:r>
              <w:t xml:space="preserve">Manajer yang baik &amp; pengakuan</w:t>
            </w:r>
          </w:p>
        </w:tc>
        <w:tc>
          <w:tcPr/>
          <w:p>
            <w:pPr>
              <w:pStyle w:val="Compact"/>
            </w:pPr>
            <w:r>
              <w:t xml:space="preserve">Pelatihan</w:t>
            </w:r>
            <w:r>
              <w:t xml:space="preserve"> </w:t>
            </w:r>
            <w:r>
              <w:rPr>
                <w:i/>
                <w:iCs/>
              </w:rPr>
              <w:t xml:space="preserve">first-line manager</w:t>
            </w:r>
            <w:r>
              <w:t xml:space="preserve">; apresiasi rutin</w:t>
            </w:r>
          </w:p>
        </w:tc>
        <w:tc>
          <w:tcPr/>
          <w:p>
            <w:pPr>
              <w:pStyle w:val="Compact"/>
            </w:pPr>
            <w:r>
              <w:t xml:space="preserve">Skor engagement tim (pembanding global: 20%, Gallup 2025)</w:t>
            </w:r>
          </w:p>
        </w:tc>
      </w:tr>
      <w:tr>
        <w:tc>
          <w:tcPr/>
          <w:p>
            <w:pPr>
              <w:pStyle w:val="Compact"/>
            </w:pPr>
            <w:r>
              <w:t xml:space="preserve">Fleksibilitas &amp; well-being</w:t>
            </w:r>
          </w:p>
        </w:tc>
        <w:tc>
          <w:tcPr/>
          <w:p>
            <w:pPr>
              <w:pStyle w:val="Compact"/>
            </w:pPr>
            <w:r>
              <w:t xml:space="preserve">Pola kerja hibrida bila memungkinkan; program kesehatan</w:t>
            </w:r>
          </w:p>
        </w:tc>
        <w:tc>
          <w:tcPr/>
          <w:p>
            <w:pPr>
              <w:pStyle w:val="Compact"/>
            </w:pPr>
            <w:r>
              <w:t xml:space="preserve">Tingkat</w:t>
            </w:r>
            <w:r>
              <w:t xml:space="preserve"> </w:t>
            </w:r>
            <w:r>
              <w:rPr>
                <w:i/>
                <w:iCs/>
              </w:rPr>
              <w:t xml:space="preserve">burnout</w:t>
            </w:r>
            <w:r>
              <w:t xml:space="preserve"> </w:t>
            </w:r>
            <w:r>
              <w:t xml:space="preserve">dan absensi</w:t>
            </w:r>
          </w:p>
        </w:tc>
      </w:tr>
    </w:tbl>
    <w:p>
      <w:pPr>
        <w:pStyle w:val="BodyText"/>
      </w:pPr>
      <w:r>
        <w:t xml:space="preserve">Jangan menjalankan kelimanya sekaligus; mulailah dari satu atau dua strategi dengan gap terbesar. Perusahaan yang sering kehilangan karyawan di tahun pertama biasanya mendapat hasil tercepat dari pembenahan onboarding, bukan kenaikan gaji merata.</w:t>
      </w:r>
    </w:p>
    <w:bookmarkEnd w:id="19"/>
    <w:bookmarkStart w:id="20" w:name="Xaff58402a0851ef25d2b014a87a66d09daa6ac3"/>
    <w:p>
      <w:pPr>
        <w:pStyle w:val="Heading2"/>
      </w:pPr>
      <w:r>
        <w:t xml:space="preserve">Bagaimana Cara Mengukur Keberhasilan Retensi Karyawan?</w:t>
      </w:r>
    </w:p>
    <w:p>
      <w:pPr>
        <w:pStyle w:val="FirstParagraph"/>
      </w:pPr>
      <w:r>
        <w:t xml:space="preserve">Gunakan retention rate tahunan, lalu bandingkan antar-periode dan antar-divisi. Menurut praktik umum industri, angka 80–90% dianggap sehat, rata-rata lintas industri berkisar 82–87%, dan di atas 90% tergolong sangat baik. Ini rentang praktik, bukan standar resmi; sektor ritel dan F&amp;B wajar lebih rendah daripada teknologi atau keuangan.</w:t>
      </w:r>
    </w:p>
    <w:p>
      <w:pPr>
        <w:pStyle w:val="BodyText"/>
      </w:pPr>
      <w:r>
        <w:t xml:space="preserve">Rumusnya:</w:t>
      </w:r>
    </w:p>
    <w:p>
      <w:pPr>
        <w:pStyle w:val="BodyText"/>
      </w:pPr>
      <w:r>
        <w:rPr>
          <w:rStyle w:val="VerbatimChar"/>
        </w:rPr>
        <w:t xml:space="preserve">Retention Rate (%) = (Jumlah karyawan yang bertahan ÷ Jumlah karyawan awal periode) × 100</w:t>
      </w:r>
    </w:p>
    <w:p>
      <w:pPr>
        <w:pStyle w:val="BodyText"/>
      </w:pPr>
      <w:r>
        <w:t xml:space="preserve">Contoh: perusahaan memulai tahun dengan 200 karyawan dan 170 di antaranya masih bekerja di akhir tahun, maka retention rate = 170 ÷ 200 × 100 = 85%. Angka itu kurang lebih setara turnover rate 15%; tidak persis identik karena karyawan baru yang direkrut di tengah periode umumnya dikecualikan dari hitungan retensi.</w:t>
      </w:r>
    </w:p>
    <w:p>
      <w:pPr>
        <w:pStyle w:val="BodyText"/>
      </w:pPr>
      <w:r>
        <w:t xml:space="preserve">Retention rate bergerak lambat. Lengkapi dengan dua</w:t>
      </w:r>
      <w:r>
        <w:t xml:space="preserve"> </w:t>
      </w:r>
      <w:r>
        <w:rPr>
          <w:i/>
          <w:iCs/>
        </w:rPr>
        <w:t xml:space="preserve">leading indicator</w:t>
      </w:r>
      <w:r>
        <w:t xml:space="preserve"> </w:t>
      </w:r>
      <w:r>
        <w:t xml:space="preserve">(indikator dini): retensi 90 hari pertama karyawan baru dan</w:t>
      </w:r>
      <w:r>
        <w:t xml:space="preserve"> </w:t>
      </w:r>
      <w:r>
        <w:rPr>
          <w:i/>
          <w:iCs/>
        </w:rPr>
        <w:t xml:space="preserve">stay interview</w:t>
      </w:r>
      <w:r>
        <w:t xml:space="preserve">, percakapan berkala tentang alasan karyawan bertahan. Gallup menemukan 45% karyawan yang resign tidak pernah diajak manajernya bicara soal kepuasan kerja atau masa depannya dalam tiga bulan sebelum keluar.</w:t>
      </w:r>
    </w:p>
    <w:bookmarkEnd w:id="20"/>
    <w:bookmarkStart w:id="22" w:name="X9da6276035ae7b71f5edd83f53422ade0ca8121"/>
    <w:p>
      <w:pPr>
        <w:pStyle w:val="Heading2"/>
      </w:pPr>
      <w:r>
        <w:t xml:space="preserve">Retensi Proaktif: Peran Data Karyawan dan People Analytics</w:t>
      </w:r>
    </w:p>
    <w:p>
      <w:pPr>
        <w:pStyle w:val="FirstParagraph"/>
      </w:pPr>
      <w:r>
        <w:rPr>
          <w:i/>
          <w:iCs/>
        </w:rPr>
        <w:t xml:space="preserve">Exit interview</w:t>
      </w:r>
      <w:r>
        <w:t xml:space="preserve"> </w:t>
      </w:r>
      <w:r>
        <w:t xml:space="preserve">menjelaskan penyebab kepergian setelah orangnya pergi.</w:t>
      </w:r>
      <w:r>
        <w:t xml:space="preserve"> </w:t>
      </w:r>
      <w:r>
        <w:rPr>
          <w:i/>
          <w:iCs/>
        </w:rPr>
        <w:t xml:space="preserve">People analytics</w:t>
      </w:r>
      <w:r>
        <w:t xml:space="preserve"> </w:t>
      </w:r>
      <w:r>
        <w:t xml:space="preserve">(analitik data karyawan) membalik urutan itu: pola kinerja, lama tidak promosi, absensi, dan hasil survei engagement dipakai menandai risiko atrisi lebih dini, sehingga intervensi seperti</w:t>
      </w:r>
      <w:r>
        <w:t xml:space="preserve"> </w:t>
      </w:r>
      <w:r>
        <w:rPr>
          <w:i/>
          <w:iCs/>
        </w:rPr>
        <w:t xml:space="preserve">career talk</w:t>
      </w:r>
      <w:r>
        <w:t xml:space="preserve"> </w:t>
      </w:r>
      <w:r>
        <w:t xml:space="preserve">atau penyesuaian beban kerja bisa dilakukan sebelum karyawan memutuskan keluar.</w:t>
      </w:r>
    </w:p>
    <w:p>
      <w:pPr>
        <w:pStyle w:val="BodyText"/>
      </w:pPr>
      <w:r>
        <w:t xml:space="preserve">Kemampuan ini kini bagian standar suite Human Capital Management (HCM) modern.</w:t>
      </w:r>
      <w:r>
        <w:t xml:space="preserve"> </w:t>
      </w:r>
      <w:hyperlink r:id="rId21">
        <w:r>
          <w:rPr>
            <w:rStyle w:val="Hyperlink"/>
          </w:rPr>
          <w:t xml:space="preserve">SAP SuccessFactors</w:t>
        </w:r>
      </w:hyperlink>
      <w:r>
        <w:t xml:space="preserve">, misalnya, menyediakan analitik tenaga kerja lewat SAP People Intelligence, aplikasi berbasis AI yang tersedia umum sejak November 2025 dan terintegrasi asisten AI Joule, untuk menjawab pertanyaan seperti di divisi mana risiko kehilangan orang paling tinggi.</w:t>
      </w:r>
    </w:p>
    <w:p>
      <w:pPr>
        <w:pStyle w:val="BodyText"/>
      </w:pPr>
      <w:r>
        <w:t xml:space="preserve">Dalam praktik implementasi HCM, analitik retensi baru berguna bila master data karyawan rapi sejak awal. Dua catatan agar ekspektasi tetap sehat: teknologi tidak menggantikan manajer yang baik, dan retensi 100% bukan target wajar karena sebagian pergantian justru menyegarkan organisasi.</w:t>
      </w:r>
    </w:p>
    <w:bookmarkEnd w:id="22"/>
    <w:bookmarkStart w:id="26" w:name="faq-pertanyaan-yang-sering-diajukan"/>
    <w:p>
      <w:pPr>
        <w:pStyle w:val="Heading2"/>
      </w:pPr>
      <w:r>
        <w:t xml:space="preserve">FAQ (Pertanyaan yang Sering Diajukan)</w:t>
      </w:r>
    </w:p>
    <w:bookmarkStart w:id="23" w:name="X2f1cb45e980cf117fc7734440dd36ff0a97400e"/>
    <w:p>
      <w:pPr>
        <w:pStyle w:val="Heading3"/>
      </w:pPr>
      <w:r>
        <w:t xml:space="preserve">Apa perbedaan employee retention dan turnover karyawan?</w:t>
      </w:r>
    </w:p>
    <w:p>
      <w:pPr>
        <w:pStyle w:val="FirstParagraph"/>
      </w:pPr>
      <w:r>
        <w:t xml:space="preserve">Keduanya dua sisi metrik yang sama: retention menghitung karyawan yang bertahan, turnover menghitung yang keluar. Pada basis perhitungan yang sama, retention rate 85% dalam setahun kurang lebih setara turnover 15%. Fokus retensi ada pada upaya mempertahankan talenta, bukan sekadar mencatat yang pergi.</w:t>
      </w:r>
    </w:p>
    <w:bookmarkEnd w:id="23"/>
    <w:bookmarkStart w:id="24" w:name="X7a5bb34858992c194780c8e25966bd9d224e975"/>
    <w:p>
      <w:pPr>
        <w:pStyle w:val="Heading3"/>
      </w:pPr>
      <w:r>
        <w:t xml:space="preserve">Berapa employee retention rate yang ideal?</w:t>
      </w:r>
    </w:p>
    <w:p>
      <w:pPr>
        <w:pStyle w:val="FirstParagraph"/>
      </w:pPr>
      <w:r>
        <w:t xml:space="preserve">Tidak ada standar resmi. Praktik industri umumnya menganggap retention rate tahunan 80–90% sehat dan di atas 90% sangat baik, dengan rata-rata lintas industri sekitar 82–87%. Angkanya bervariasi per sektor: ritel dan F&amp;B biasanya lebih rendah daripada sektor teknologi atau keuangan.</w:t>
      </w:r>
    </w:p>
    <w:bookmarkEnd w:id="24"/>
    <w:bookmarkStart w:id="25" w:name="X5253116aa06eac12661f22de8cd5ef4028ab766"/>
    <w:p>
      <w:pPr>
        <w:pStyle w:val="Heading3"/>
      </w:pPr>
      <w:r>
        <w:t xml:space="preserve">Apa strategi retensi karyawan yang paling efektif?</w:t>
      </w:r>
    </w:p>
    <w:p>
      <w:pPr>
        <w:pStyle w:val="FirstParagraph"/>
      </w:pPr>
      <w:r>
        <w:t xml:space="preserve">Tidak ada resep tunggal; mulailah dari strategi dengan gap terbesar di perusahaan Anda. Investasi pembelajaran termasuk yang paling kuat: 94% karyawan menyatakan akan bertahan lebih lama di perusahaan yang berinvestasi membantu mereka belajar (LinkedIn Workplace Learning Report, 2019).</w:t>
      </w:r>
    </w:p>
    <w:bookmarkEnd w:id="25"/>
    <w:bookmarkEnd w:id="26"/>
    <w:bookmarkStart w:id="27" w:name="kesimpulan"/>
    <w:p>
      <w:pPr>
        <w:pStyle w:val="Heading2"/>
      </w:pPr>
      <w:r>
        <w:t xml:space="preserve">Kesimpulan</w:t>
      </w:r>
    </w:p>
    <w:p>
      <w:pPr>
        <w:pStyle w:val="FirstParagraph"/>
      </w:pPr>
      <w:r>
        <w:t xml:space="preserve">Retensi yang berhasil dikelola seperti metrik bisnis lain: pahami biaya per peran, pilih satu-dua strategi dengan gap terbesar, dan gunakan data untuk mendeteksi risiko sebelum terlambat. Soltius, mitra implementasi SAP berpengalaman sejak 1998 dan bagian dari Metrodata Group, membantu perusahaan menerapkan solusi Human Capital Management seperti SAP SuccessFactors agar data karyawan menjadi dasar strategi retensi, bukan sekadar arsip administrasi. Langkah awalnya: audit retention rate dan kualitas data karyawan Anda.</w:t>
      </w:r>
    </w:p>
    <w:p>
      <w:pPr>
        <w:pStyle w:val="BodyText"/>
      </w:pPr>
      <w:r>
        <w:t xml:space="preserve">Untuk mendiskusikan penerapan SAP SuccessFactors sebagai fondasi strategi retensi di perusahaan Anda, kunjungi soltius.co.id.</w:t>
      </w:r>
    </w:p>
    <w:bookmarkEnd w:id="27"/>
    <w:bookmarkEnd w:id="28"/>
    <w:sectPr>
      <w:pgSz w:h="16834" w:orient="portrait" w:w="11909"/>
      <w:pgMar w:bottom="1440" w:footer="720" w:header="720" w:left="1440" w:right="1440" w:top="1440"/>
      <w:pgNumType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abstractNum w:abstractNumId="1">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2">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3">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rFonts w:ascii="Arial" w:cs="Arial" w:eastAsia="Arial" w:hAnsi="Arial"/>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4">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5">
    <w:lvl w:ilvl="0">
      <w:start w:val="1"/>
      <w:numFmt w:val="bullet"/>
      <w:lvlText w:val="●"/>
      <w:lvlJc w:val="left"/>
      <w:pPr>
        <w:ind w:hanging="360" w:left="720"/>
      </w:pPr>
      <w:rPr>
        <w:rFonts w:ascii="Arial" w:cs="Arial" w:eastAsia="Arial" w:hAnsi="Arial"/>
        <w:u w:val="none"/>
      </w:rPr>
    </w:lvl>
    <w:lvl w:ilvl="1">
      <w:start w:val="1"/>
      <w:numFmt w:val="bullet"/>
      <w:lvlText w:val="○"/>
      <w:lvlJc w:val="left"/>
      <w:pPr>
        <w:ind w:hanging="360" w:left="1440"/>
      </w:pPr>
      <w:rPr>
        <w:u w:val="none"/>
      </w:rPr>
    </w:lvl>
    <w:lvl w:ilvl="2">
      <w:start w:val="1"/>
      <w:numFmt w:val="bullet"/>
      <w:lvlText w:val="■"/>
      <w:lvlJc w:val="left"/>
      <w:pPr>
        <w:ind w:hanging="360" w:left="2160"/>
      </w:pPr>
      <w:rPr>
        <w:u w:val="none"/>
      </w:rPr>
    </w:lvl>
    <w:lvl w:ilvl="3">
      <w:start w:val="1"/>
      <w:numFmt w:val="bullet"/>
      <w:lvlText w:val="●"/>
      <w:lvlJc w:val="left"/>
      <w:pPr>
        <w:ind w:hanging="360" w:left="2880"/>
      </w:pPr>
      <w:rPr>
        <w:u w:val="none"/>
      </w:rPr>
    </w:lvl>
    <w:lvl w:ilvl="4">
      <w:start w:val="1"/>
      <w:numFmt w:val="bullet"/>
      <w:lvlText w:val="○"/>
      <w:lvlJc w:val="left"/>
      <w:pPr>
        <w:ind w:hanging="360" w:left="3600"/>
      </w:pPr>
      <w:rPr>
        <w:u w:val="none"/>
      </w:rPr>
    </w:lvl>
    <w:lvl w:ilvl="5">
      <w:start w:val="1"/>
      <w:numFmt w:val="bullet"/>
      <w:lvlText w:val="■"/>
      <w:lvlJc w:val="left"/>
      <w:pPr>
        <w:ind w:hanging="360" w:left="4320"/>
      </w:pPr>
      <w:rPr>
        <w:u w:val="none"/>
      </w:rPr>
    </w:lvl>
    <w:lvl w:ilvl="6">
      <w:start w:val="1"/>
      <w:numFmt w:val="bullet"/>
      <w:lvlText w:val="●"/>
      <w:lvlJc w:val="left"/>
      <w:pPr>
        <w:ind w:hanging="360" w:left="5040"/>
      </w:pPr>
      <w:rPr>
        <w:u w:val="none"/>
      </w:rPr>
    </w:lvl>
    <w:lvl w:ilvl="7">
      <w:start w:val="1"/>
      <w:numFmt w:val="bullet"/>
      <w:lvlText w:val="○"/>
      <w:lvlJc w:val="left"/>
      <w:pPr>
        <w:ind w:hanging="360" w:left="5760"/>
      </w:pPr>
      <w:rPr>
        <w:u w:val="none"/>
      </w:rPr>
    </w:lvl>
    <w:lvl w:ilvl="8">
      <w:start w:val="1"/>
      <w:numFmt w:val="bullet"/>
      <w:lvlText w:val="■"/>
      <w:lvlJc w:val="left"/>
      <w:pPr>
        <w:ind w:hanging="360" w:left="6480"/>
      </w:pPr>
      <w:rPr>
        <w:u w:val="none"/>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abstractNumId w:val="1"/>
  </w:num>
  <w:num w:numId="2">
    <w:abstractNumId w:val="2"/>
  </w:num>
  <w:num w:numId="3">
    <w:abstractNumId w:val="3"/>
  </w:num>
  <w:num w:numId="4">
    <w:abstractNumId w:val="4"/>
  </w:num>
  <w:num w:numId="5">
    <w:abstractNumId w:val="5"/>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TrueTypeFonts w:val="1"/>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http://schemas.microsoft.com/office/tasks/2019/documenttasks" xmlns:a="http://schemas.openxmlformats.org/drawingml/2006/main" xmlns:c="http://schemas.openxmlformats.org/drawingml/2006/chart" xmlns:cr="http://schemas.microsoft.com/office/comments/2020/reactions" xmlns:dgm="http://schemas.openxmlformats.org/drawingml/2006/diagram" xmlns:lc="http://schemas.openxmlformats.org/drawingml/2006/lockedCanvas" xmlns:m="http://schemas.openxmlformats.org/officeDocument/2006/math" xmlns:mc="http://schemas.openxmlformats.org/markup-compatibility/2006" xmlns:o="urn:schemas-microsoft-com:office:office" xmlns:pic="http://schemas.openxmlformats.org/drawingml/2006/pictur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ne="http://schemas.microsoft.com/office/word/2006/wordml" xmlns:wp="http://schemas.openxmlformats.org/drawingml/2006/wordprocessingDrawing" xmlns:wpg="http://schemas.microsoft.com/office/word/2010/wordprocessingGroup" xmlns:wps="http://schemas.microsoft.com/office/word/2010/wordprocessingShape">
  <w:docDefaults>
    <w:rPrDefault>
      <w:rPr>
        <w:rFonts w:ascii="Arial" w:cs="Arial" w:eastAsia="Arial" w:hAnsi="Arial"/>
        <w:sz w:val="22"/>
        <w:szCs w:val="22"/>
        <w:lang w:val="en_GB"/>
      </w:rPr>
    </w:rPrDefault>
    <w:pPrDefault>
      <w:pPr>
        <w:spacing w:line="276" w:lineRule="auto"/>
      </w:pPr>
    </w:pPrDefault>
  </w:docDefaults>
  <w:style w:default="1" w:styleId="TableNormal" w:type="table">
    <w:name w:val="TableNormal"/>
    <w:tblPr>
      <w:tblCellMar>
        <w:top w:type="dxa" w:w="100.0"/>
        <w:left w:type="dxa" w:w="100.0"/>
        <w:bottom w:type="dxa" w:w="100.0"/>
        <w:right w:type="dxa" w:w="100.0"/>
      </w:tblCellMar>
    </w:tblPr>
  </w:style>
  <w:style w:default="1" w:styleId="Normal" w:type="paragraph">
    <w:name w:val="normal"/>
  </w:style>
  <w:style w:styleId="Heading1" w:type="paragraph">
    <w:name w:val="heading 1"/>
    <w:basedOn w:val="Normal"/>
    <w:next w:val="Normal"/>
    <w:pPr>
      <w:keepNext w:val="1"/>
      <w:keepLines w:val="1"/>
      <w:pageBreakBefore w:val="0"/>
      <w:spacing w:after="120" w:before="400" w:lineRule="auto"/>
    </w:pPr>
    <w:rPr>
      <w:sz w:val="40"/>
      <w:szCs w:val="40"/>
    </w:rPr>
  </w:style>
  <w:style w:styleId="Heading2" w:type="paragraph">
    <w:name w:val="heading 2"/>
    <w:basedOn w:val="Normal"/>
    <w:next w:val="Normal"/>
    <w:pPr>
      <w:keepNext w:val="1"/>
      <w:keepLines w:val="1"/>
      <w:pageBreakBefore w:val="0"/>
      <w:spacing w:after="120" w:before="360" w:lineRule="auto"/>
    </w:pPr>
    <w:rPr>
      <w:b w:val="0"/>
      <w:bCs w:val="0"/>
      <w:sz w:val="32"/>
      <w:szCs w:val="32"/>
    </w:rPr>
  </w:style>
  <w:style w:styleId="Heading3" w:type="paragraph">
    <w:name w:val="heading 3"/>
    <w:basedOn w:val="Normal"/>
    <w:next w:val="Normal"/>
    <w:pPr>
      <w:keepNext w:val="1"/>
      <w:keepLines w:val="1"/>
      <w:pageBreakBefore w:val="0"/>
      <w:spacing w:after="80" w:before="320" w:lineRule="auto"/>
    </w:pPr>
    <w:rPr>
      <w:b w:val="0"/>
      <w:bCs w:val="0"/>
      <w:color w:val="434343"/>
      <w:sz w:val="28"/>
      <w:szCs w:val="28"/>
    </w:rPr>
  </w:style>
  <w:style w:styleId="Heading4" w:type="paragraph">
    <w:name w:val="heading 4"/>
    <w:basedOn w:val="Normal"/>
    <w:next w:val="Normal"/>
    <w:pPr>
      <w:keepNext w:val="1"/>
      <w:keepLines w:val="1"/>
      <w:pageBreakBefore w:val="0"/>
      <w:spacing w:after="80" w:before="280" w:lineRule="auto"/>
    </w:pPr>
    <w:rPr>
      <w:color w:val="666666"/>
      <w:sz w:val="24"/>
      <w:szCs w:val="24"/>
    </w:rPr>
  </w:style>
  <w:style w:styleId="Heading5" w:type="paragraph">
    <w:name w:val="heading 5"/>
    <w:basedOn w:val="Normal"/>
    <w:next w:val="Normal"/>
    <w:pPr>
      <w:keepNext w:val="1"/>
      <w:keepLines w:val="1"/>
      <w:pageBreakBefore w:val="0"/>
      <w:spacing w:after="80" w:before="240" w:lineRule="auto"/>
    </w:pPr>
    <w:rPr>
      <w:color w:val="666666"/>
      <w:sz w:val="22"/>
      <w:szCs w:val="22"/>
    </w:rPr>
  </w:style>
  <w:style w:styleId="Heading6" w:type="paragraph">
    <w:name w:val="heading 6"/>
    <w:basedOn w:val="Normal"/>
    <w:next w:val="Normal"/>
    <w:pPr>
      <w:keepNext w:val="1"/>
      <w:keepLines w:val="1"/>
      <w:pageBreakBefore w:val="0"/>
      <w:spacing w:after="80" w:before="240" w:lineRule="auto"/>
    </w:pPr>
    <w:rPr>
      <w:i w:val="1"/>
      <w:iCs w:val="1"/>
      <w:color w:val="666666"/>
      <w:sz w:val="22"/>
      <w:szCs w:val="22"/>
    </w:rPr>
  </w:style>
  <w:style w:styleId="Title" w:type="paragraph">
    <w:name w:val="Title"/>
    <w:basedOn w:val="Normal"/>
    <w:next w:val="Normal"/>
    <w:pPr>
      <w:keepNext w:val="1"/>
      <w:keepLines w:val="1"/>
      <w:pageBreakBefore w:val="0"/>
      <w:spacing w:after="60" w:before="0" w:lineRule="auto"/>
    </w:pPr>
    <w:rPr>
      <w:sz w:val="52"/>
      <w:szCs w:val="52"/>
    </w:rPr>
  </w:style>
  <w:style w:styleId="Subtitle" w:type="paragraph">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styleId="Table1" w:type="table">
    <w:basedOn w:val="TableNormal"/>
    <w:tblPr>
      <w:tblStyleRowBandSize w:val="1"/>
      <w:tblStyleColBandSize w:val="1"/>
      <w:tblCellMar/>
    </w:tblPr>
  </w:style>
  <w:style w:styleId="Table2" w:type="table">
    <w:basedOn w:val="TableNormal"/>
    <w:tblPr>
      <w:tblStyleRowBandSize w:val="1"/>
      <w:tblStyleColBandSize w:val="1"/>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 w:type="character" w:styleId="Hyperlink">
    <w:name w:val="Hyperlink"/>
    <w:rPr>
      <w:color w:val="0563C1"/>
      <w:u w:val="singl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media/image1.png" Type="http://schemas.openxmlformats.org/officeDocument/2006/relationships/image" /><Relationship Type="http://schemas.openxmlformats.org/officeDocument/2006/relationships/hyperlink" Id="rId17" Target="https://www.soltius.co.id/solutions-by-products/human-capital-management-system" TargetMode="External" /><Relationship Type="http://schemas.openxmlformats.org/officeDocument/2006/relationships/hyperlink" Id="rId21" Target="https://www.soltius.co.id/solutions-by-products/reading/success-factors" TargetMode="External" /></Relationships>
</file>

<file path=word/_rels/footnotes.xml.rels><?xml version="1.0" encoding="UTF-8"?><Relationships xmlns="http://schemas.openxmlformats.org/package/2006/relationships"><Relationship Type="http://schemas.openxmlformats.org/officeDocument/2006/relationships/hyperlink" Id="rId17" Target="https://www.soltius.co.id/solutions-by-products/human-capital-management-system" TargetMode="External" /><Relationship Type="http://schemas.openxmlformats.org/officeDocument/2006/relationships/hyperlink" Id="rId21" Target="https://www.soltius.co.id/solutions-by-products/reading/success-factor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2026-07-07T01:29:10Z</dcterms:created>
  <dcterms:modified xsi:type="dcterms:W3CDTF">2026-07-07T01:29:10Z</dcterms:modified>
</cp:coreProperties>
</file>

<file path=docProps/custom.xml><?xml version="1.0" encoding="utf-8"?>
<Properties xmlns="http://schemas.openxmlformats.org/officeDocument/2006/custom-properties" xmlns:vt="http://schemas.openxmlformats.org/officeDocument/2006/docPropsVTypes"/>
</file>