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ECC End of Life 2027: Dampak dan Opsi Migrasi Anda"</w:t>
      </w:r>
      <w:r>
        <w:br/>
      </w:r>
      <w:r>
        <w:rPr>
          <w:rStyle w:val="FunctionTok"/>
        </w:rPr>
        <w:t xml:space="preserve">meta_title</w:t>
      </w:r>
      <w:r>
        <w:rPr>
          <w:rStyle w:val="KeywordTok"/>
        </w:rPr>
        <w:t xml:space="preserve">:</w:t>
      </w:r>
      <w:r>
        <w:rPr>
          <w:rStyle w:val="AttributeTok"/>
        </w:rPr>
        <w:t xml:space="preserve"> </w:t>
      </w:r>
      <w:r>
        <w:rPr>
          <w:rStyle w:val="StringTok"/>
        </w:rPr>
        <w:t xml:space="preserve">"SAP ECC End of Life 2027: Dampak &amp; Opsi Migrasi Anda"</w:t>
      </w:r>
      <w:r>
        <w:br/>
      </w:r>
      <w:r>
        <w:rPr>
          <w:rStyle w:val="FunctionTok"/>
        </w:rPr>
        <w:t xml:space="preserve">meta_description</w:t>
      </w:r>
      <w:r>
        <w:rPr>
          <w:rStyle w:val="KeywordTok"/>
        </w:rPr>
        <w:t xml:space="preserve">:</w:t>
      </w:r>
      <w:r>
        <w:rPr>
          <w:rStyle w:val="AttributeTok"/>
        </w:rPr>
        <w:t xml:space="preserve"> </w:t>
      </w:r>
      <w:r>
        <w:rPr>
          <w:rStyle w:val="StringTok"/>
        </w:rPr>
        <w:t xml:space="preserve">"Akhir dukungan SAP ECC jatuh 31 Desember 2027. Kenali dampaknya, premi extended maintenance 2 poin persen, dan 4 opsi migrasi termasuk RISE with SAP."</w:t>
      </w:r>
      <w:r>
        <w:br/>
      </w:r>
      <w:r>
        <w:rPr>
          <w:rStyle w:val="FunctionTok"/>
        </w:rPr>
        <w:t xml:space="preserve">slug</w:t>
      </w:r>
      <w:r>
        <w:rPr>
          <w:rStyle w:val="KeywordTok"/>
        </w:rPr>
        <w:t xml:space="preserve">:</w:t>
      </w:r>
      <w:r>
        <w:rPr>
          <w:rStyle w:val="AttributeTok"/>
        </w:rPr>
        <w:t xml:space="preserve"> </w:t>
      </w:r>
      <w:r>
        <w:rPr>
          <w:rStyle w:val="StringTok"/>
        </w:rPr>
        <w:t xml:space="preserve">"sap-ecc-end-of-life-2027-dampak-opsi-migrasi"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ecc 2027"</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"akhir dukungan sap ecc"</w:t>
      </w:r>
      <w:r>
        <w:rPr>
          <w:rStyle w:val="KeywordTok"/>
        </w:rPr>
        <w:t xml:space="preserve">,</w:t>
      </w:r>
      <w:r>
        <w:rPr>
          <w:rStyle w:val="AttributeTok"/>
        </w:rPr>
        <w:t xml:space="preserve"> </w:t>
      </w:r>
      <w:r>
        <w:rPr>
          <w:rStyle w:val="StringTok"/>
        </w:rPr>
        <w:t xml:space="preserve">"extended maintenance sap ecc"</w:t>
      </w:r>
      <w:r>
        <w:rPr>
          <w:rStyle w:val="KeywordTok"/>
        </w:rPr>
        <w:t xml:space="preserve">,</w:t>
      </w:r>
      <w:r>
        <w:rPr>
          <w:rStyle w:val="AttributeTok"/>
        </w:rPr>
        <w:t xml:space="preserve"> </w:t>
      </w:r>
      <w:r>
        <w:rPr>
          <w:rStyle w:val="StringTok"/>
        </w:rPr>
        <w:t xml:space="preserve">"customer-specific maintenance"</w:t>
      </w:r>
      <w:r>
        <w:rPr>
          <w:rStyle w:val="KeywordTok"/>
        </w:rPr>
        <w:t xml:space="preserve">,</w:t>
      </w:r>
      <w:r>
        <w:rPr>
          <w:rStyle w:val="AttributeTok"/>
        </w:rPr>
        <w:t xml:space="preserve"> </w:t>
      </w:r>
      <w:r>
        <w:rPr>
          <w:rStyle w:val="StringTok"/>
        </w:rPr>
        <w:t xml:space="preserve">"migrasi sap ecc ke s/4hana"</w:t>
      </w:r>
      <w:r>
        <w:rPr>
          <w:rStyle w:val="KeywordTok"/>
        </w:rPr>
        <w:t xml:space="preserve">,</w:t>
      </w:r>
      <w:r>
        <w:rPr>
          <w:rStyle w:val="AttributeTok"/>
        </w:rPr>
        <w:t xml:space="preserve"> </w:t>
      </w:r>
      <w:r>
        <w:rPr>
          <w:rStyle w:val="StringTok"/>
        </w:rPr>
        <w:t xml:space="preserve">"rise with sap"</w:t>
      </w:r>
      <w:r>
        <w:rPr>
          <w:rStyle w:val="KeywordTok"/>
        </w:rPr>
        <w:t xml:space="preserve">,</w:t>
      </w:r>
      <w:r>
        <w:rPr>
          <w:rStyle w:val="AttributeTok"/>
        </w:rPr>
        <w:t xml:space="preserve"> </w:t>
      </w:r>
      <w:r>
        <w:rPr>
          <w:rStyle w:val="StringTok"/>
        </w:rPr>
        <w:t xml:space="preserve">"sap business suite 7"</w:t>
      </w:r>
      <w:r>
        <w:rPr>
          <w:rStyle w:val="KeywordTok"/>
        </w:rPr>
        <w:t xml:space="preserve">,</w:t>
      </w:r>
      <w:r>
        <w:rPr>
          <w:rStyle w:val="AttributeTok"/>
        </w:rPr>
        <w:t xml:space="preserve"> </w:t>
      </w:r>
      <w:r>
        <w:rPr>
          <w:rStyle w:val="StringTok"/>
        </w:rPr>
        <w:t xml:space="preserve">"sap s/4hana cloud private edition"</w:t>
      </w:r>
      <w:r>
        <w:rPr>
          <w:rStyle w:val="KeywordTok"/>
        </w:rPr>
        <w:t xml:space="preserve">,</w:t>
      </w:r>
      <w:r>
        <w:rPr>
          <w:rStyle w:val="AttributeTok"/>
        </w:rPr>
        <w:t xml:space="preserve"> </w:t>
      </w:r>
      <w:r>
        <w:rPr>
          <w:rStyle w:val="StringTok"/>
        </w:rPr>
        <w:t xml:space="preserve">"transition option 2031-2033"</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"https://www.soltius.co.id/id/blog/RISE-With-SAP-Untuk-ERP-Enterprise"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"RISE with SAP"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"https://support.sap.com/en/release-upgrade-maintenance/maintenance-information/maintenance-strategy/s4hana-business-suite7.html"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"Mainstream maintenance SAP Business Suite 7 berakhir akhir 2027; extended maintenance 2028-2030 dengan premi 2 poin persen; status customer-specific maintenance; komitmen minimal satu rilis S/4HANA dalam maintenance hingga 2040"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"https://www.cio.com/article/4000543/nearly-half-of-sap-ecc-customers-may-stick-with-legacy-erp-beyond-2027.html"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"Gartner: per akhir 2024 baru 39% dari sekitar 35.000 pelanggan ECC yang migrasi; proyeksi sekitar 17.000 belum migrasi hingga 2027"</w:t>
      </w:r>
      <w:r>
        <w:br/>
      </w:r>
      <w:r>
        <w:rPr>
          <w:rStyle w:val="FunctionTok"/>
        </w:rPr>
        <w:t xml:space="preserve">brief_id</w:t>
      </w:r>
      <w:r>
        <w:rPr>
          <w:rStyle w:val="KeywordTok"/>
        </w:rPr>
        <w:t xml:space="preserve">:</w:t>
      </w:r>
      <w:r>
        <w:rPr>
          <w:rStyle w:val="AttributeTok"/>
        </w:rPr>
        <w:t xml:space="preserve"> </w:t>
      </w:r>
      <w:r>
        <w:rPr>
          <w:rStyle w:val="StringTok"/>
        </w:rPr>
        <w:t xml:space="preserve">"sap-ecc-2027-c01"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987</w:t>
      </w:r>
    </w:p>
    <w:p>
      <w:r>
        <w:pict>
          <v:rect style="width:0;height:1.5pt" o:hralign="center" o:hrstd="t" o:hr="t"/>
        </w:pict>
      </w:r>
    </w:p>
    <w:bookmarkEnd w:id="16"/>
    <w:bookmarkStart w:id="29" w:name="X7af34e71fc5759cfb76a8356050beaa66679995"/>
    <w:p>
      <w:pPr>
        <w:pStyle w:val="Heading1"/>
      </w:pPr>
      <w:r>
        <w:t xml:space="preserve">SAP ECC End of Life 2027: Dampak dan Opsi Migrasi Anda</w:t>
      </w:r>
    </w:p>
    <w:p>
      <w:pPr>
        <w:pStyle w:val="FirstParagraph"/>
      </w:pPr>
      <w:r>
        <w:t xml:space="preserve">Sistem inti perusahaan Anda mungkin masih berjalan stabil di SAP ECC (SAP ERP Central Component), tetapi tenggat SAP ECC 2027 kini tinggal 18 bulan lagi. Keputusan</w:t>
      </w:r>
      <w:r>
        <w:t xml:space="preserve"> </w:t>
      </w:r>
      <w:hyperlink r:id="rId17">
        <w:r>
          <w:rPr>
            <w:rStyle w:val="Hyperlink"/>
          </w:rPr>
          <w:t xml:space="preserve">migrasi ERP ke cloud</w:t>
        </w:r>
      </w:hyperlink>
      <w:r>
        <w:t xml:space="preserve"> </w:t>
      </w:r>
      <w:r>
        <w:t xml:space="preserve">atau bertahan tidak bisa lagi digeser ke rapat anggaran tahun depan. Artikel ini merangkum tanggal resmi dari SAP, dampak nyata bila bertahan, dan empat opsi beserta konsekuensinya.</w:t>
      </w:r>
    </w:p>
    <w:p>
      <w:pPr>
        <w:pStyle w:val="BlockText"/>
      </w:pPr>
      <w:r>
        <w:rPr>
          <w:b/>
          <w:bCs/>
        </w:rPr>
        <w:t xml:space="preserve">Ringkasnya:</w:t>
      </w:r>
      <w:r>
        <w:t xml:space="preserve"> </w:t>
      </w:r>
      <w:r>
        <w:t xml:space="preserve">SAP ECC 2027 adalah tenggat berakhirnya</w:t>
      </w:r>
      <w:r>
        <w:t xml:space="preserve"> </w:t>
      </w:r>
      <w:r>
        <w:rPr>
          <w:i/>
          <w:iCs/>
        </w:rPr>
        <w:t xml:space="preserve">mainstream maintenance</w:t>
      </w:r>
      <w:r>
        <w:t xml:space="preserve"> </w:t>
      </w:r>
      <w:r>
        <w:t xml:space="preserve">SAP ECC 6.0 (SAP Business Suite 7) pada 31 Desember 2027, berlaku untuk Enhancement Package 6–8. SAP menawarkan</w:t>
      </w:r>
      <w:r>
        <w:t xml:space="preserve"> </w:t>
      </w:r>
      <w:r>
        <w:rPr>
          <w:i/>
          <w:iCs/>
        </w:rPr>
        <w:t xml:space="preserve">extended maintenance</w:t>
      </w:r>
      <w:r>
        <w:t xml:space="preserve"> </w:t>
      </w:r>
      <w:r>
        <w:t xml:space="preserve">berbayar hingga akhir 2030; tanpa itu sistem tetap berjalan, tetapi tidak lagi menerima patch keamanan dan</w:t>
      </w:r>
      <w:r>
        <w:t xml:space="preserve"> </w:t>
      </w:r>
      <w:r>
        <w:rPr>
          <w:i/>
          <w:iCs/>
        </w:rPr>
        <w:t xml:space="preserve">legal update</w:t>
      </w:r>
      <w:r>
        <w:t xml:space="preserve"> </w:t>
      </w:r>
      <w:r>
        <w:t xml:space="preserve">baru.</w:t>
      </w:r>
    </w:p>
    <w:bookmarkStart w:id="20" w:name="X3ae888a797f85cf7dfb00f34954e0adf3848649"/>
    <w:p>
      <w:pPr>
        <w:pStyle w:val="Heading2"/>
      </w:pPr>
      <w:r>
        <w:t xml:space="preserve">Apa Dampaknya Jika Tetap Bertahan di SAP ECC Setelah 2027?</w:t>
      </w:r>
    </w:p>
    <w:p>
      <w:pPr>
        <w:pStyle w:val="FirstParagraph"/>
      </w:pPr>
      <w:r>
        <w:t xml:space="preserve">Mulai awal 2028, sistem yang bertahan turun status ke</w:t>
      </w:r>
      <w:r>
        <w:t xml:space="preserve"> </w:t>
      </w:r>
      <w:r>
        <w:rPr>
          <w:i/>
          <w:iCs/>
        </w:rPr>
        <w:t xml:space="preserve">customer-specific maintenance</w:t>
      </w:r>
      <w:r>
        <w:t xml:space="preserve">: layanan sangat terbatas, tanpa premi tambahan, dengan risiko keamanan dan kepatuhan berpindah sepenuhnya ke tim Anda. Batasan versinya sering terlewat: EHP 0–5 sudah lebih dulu kehilangan dukungan pada akhir 2025, sehingga opsi perpanjangan hanya terbuka bagi EHP 6–8 (</w:t>
      </w:r>
      <w:hyperlink r:id="rId18">
        <w:r>
          <w:rPr>
            <w:rStyle w:val="Hyperlink"/>
          </w:rPr>
          <w:t xml:space="preserve">SAP, support.sap.com, diakses Juli 2026</w:t>
        </w:r>
      </w:hyperlink>
      <w:r>
        <w:t xml:space="preserve">).</w:t>
      </w:r>
    </w:p>
    <w:p>
      <w:pPr>
        <w:pStyle w:val="BodyText"/>
      </w:pPr>
      <w:r>
        <w:t xml:space="preserve">Konsekuensi paling cepat terasa di sisi kepatuhan. Setiap perubahan regulasi pajak atau format pelaporan setelah tenggat harus Anda tangani lewat pengembangan internal, karena SAP tidak lagi merilis legal update untuk ECC. Di sisi keamanan, celah baru yang ditemukan setelah 2027 tidak akan ditambal, dan permukaan serangan sistem inti melebar setiap tahunnya.</w:t>
      </w:r>
    </w:p>
    <w:p>
      <w:pPr>
        <w:pStyle w:val="BodyText"/>
      </w:pPr>
      <w:r>
        <w:t xml:space="preserve">Skala persoalannya tidak kecil. Menurut Gartner, per akhir 2024 baru 39% dari sekitar 35.000 pelanggan ECC yang sudah migrasi ke S/4HANA (</w:t>
      </w:r>
      <w:hyperlink r:id="rId19">
        <w:r>
          <w:rPr>
            <w:rStyle w:val="Hyperlink"/>
          </w:rPr>
          <w:t xml:space="preserve">CIO.com, Juni 2025</w:t>
        </w:r>
      </w:hyperlink>
      <w:r>
        <w:t xml:space="preserve">). Ekosistemnya pun menua: talenta ECC makin langka dan vendor add-on mengalihkan fokus, meski belum ada statistik resmi mengenai lajunya.</w:t>
      </w:r>
    </w:p>
    <w:p>
      <w:pPr>
        <w:pStyle w:val="BodyText"/>
      </w:pPr>
      <w:r>
        <w:t xml:space="preserve">Mispersepsi yang sering muncul di rapat direksi: sistem berhenti bekerja pada 1 Januari 2028. Kenyataannya, yang berakhir adalah jaminan SAP, bukan operasional sistemnya.</w:t>
      </w:r>
    </w:p>
    <w:bookmarkEnd w:id="20"/>
    <w:bookmarkStart w:id="22" w:name="Xd19ceb4cdcb0d853be28378d07af6d43088628e"/>
    <w:p>
      <w:pPr>
        <w:pStyle w:val="Heading2"/>
      </w:pPr>
      <w:r>
        <w:t xml:space="preserve">Empat Opsi Menghadapi Akhir Dukungan SAP ECC</w:t>
      </w:r>
    </w:p>
    <w:p>
      <w:pPr>
        <w:pStyle w:val="FirstParagraph"/>
      </w:pPr>
      <w:r>
        <w:t xml:space="preserve">Empat jalur tersedia dengan konsekuensi berbeda: bertahan tanpa premi di customer-specific maintenance, membeli waktu lewat extended maintenance 2028–2030 berpremi 2 poin persen, migrasi ke SAP S/4HANA dengan komitmen minimal satu rilis dalam maintenance hingga 2040, atau RISE with SAP yang membuka transition option 2031–2033 bagi kasus paling kompleks.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Opsi</w:t>
            </w:r>
          </w:p>
        </w:tc>
        <w:tc>
          <w:tcPr/>
          <w:p>
            <w:pPr>
              <w:pStyle w:val="Compact"/>
            </w:pPr>
            <w:r>
              <w:t xml:space="preserve">Yang Anda dapat</w:t>
            </w:r>
          </w:p>
        </w:tc>
        <w:tc>
          <w:tcPr/>
          <w:p>
            <w:pPr>
              <w:pStyle w:val="Compact"/>
            </w:pPr>
            <w:r>
              <w:t xml:space="preserve">Biaya &amp; syarat</w:t>
            </w:r>
          </w:p>
        </w:tc>
        <w:tc>
          <w:tcPr/>
          <w:p>
            <w:pPr>
              <w:pStyle w:val="Compact"/>
            </w:pPr>
            <w:r>
              <w:t xml:space="preserve">Batas waktu</w:t>
            </w:r>
          </w:p>
        </w:tc>
        <w:tc>
          <w:tcPr/>
          <w:p>
            <w:pPr>
              <w:pStyle w:val="Compact"/>
            </w:pPr>
            <w:r>
              <w:t xml:space="preserve">Cocok untuk</w:t>
            </w:r>
          </w:p>
        </w:tc>
      </w:tr>
      <w:tr>
        <w:tc>
          <w:tcPr/>
          <w:p>
            <w:pPr>
              <w:pStyle w:val="Compact"/>
            </w:pPr>
            <w:r>
              <w:rPr>
                <w:b/>
                <w:bCs/>
              </w:rPr>
              <w:t xml:space="preserve">Bertahan (customer-specific maintenance)</w:t>
            </w:r>
          </w:p>
        </w:tc>
        <w:tc>
          <w:tcPr/>
          <w:p>
            <w:pPr>
              <w:pStyle w:val="Compact"/>
            </w:pPr>
            <w:r>
              <w:t xml:space="preserve">Sistem tetap berjalan; tanpa patch keamanan dan legal update baru</w:t>
            </w:r>
          </w:p>
        </w:tc>
        <w:tc>
          <w:tcPr/>
          <w:p>
            <w:pPr>
              <w:pStyle w:val="Compact"/>
            </w:pPr>
            <w:r>
              <w:t xml:space="preserve">Tanpa premi; risiko ditanggung sendiri</w:t>
            </w:r>
          </w:p>
        </w:tc>
        <w:tc>
          <w:tcPr/>
          <w:p>
            <w:pPr>
              <w:pStyle w:val="Compact"/>
            </w:pPr>
            <w:r>
              <w:t xml:space="preserve">Tanpa batas formal</w:t>
            </w:r>
          </w:p>
        </w:tc>
        <w:tc>
          <w:tcPr/>
          <w:p>
            <w:pPr>
              <w:pStyle w:val="Compact"/>
            </w:pPr>
            <w:r>
              <w:t xml:space="preserve">Sistem yang segera dipensiunkan</w:t>
            </w:r>
          </w:p>
        </w:tc>
      </w:tr>
      <w:tr>
        <w:tc>
          <w:tcPr/>
          <w:p>
            <w:pPr>
              <w:pStyle w:val="Compact"/>
            </w:pPr>
            <w:r>
              <w:rPr>
                <w:b/>
                <w:bCs/>
              </w:rPr>
              <w:t xml:space="preserve">Extended maintenance</w:t>
            </w:r>
          </w:p>
        </w:tc>
        <w:tc>
          <w:tcPr/>
          <w:p>
            <w:pPr>
              <w:pStyle w:val="Compact"/>
            </w:pPr>
            <w:r>
              <w:t xml:space="preserve">Patch dan legal update berlanjut</w:t>
            </w:r>
          </w:p>
        </w:tc>
        <w:tc>
          <w:tcPr/>
          <w:p>
            <w:pPr>
              <w:pStyle w:val="Compact"/>
            </w:pPr>
            <w:r>
              <w:t xml:space="preserve">Premi 2 poin persen di atas basis maintenance; hanya EHP 6–8</w:t>
            </w:r>
          </w:p>
        </w:tc>
        <w:tc>
          <w:tcPr/>
          <w:p>
            <w:pPr>
              <w:pStyle w:val="Compact"/>
            </w:pPr>
            <w:r>
              <w:t xml:space="preserve">Awal 2028 sampai akhir 2030</w:t>
            </w:r>
          </w:p>
        </w:tc>
        <w:tc>
          <w:tcPr/>
          <w:p>
            <w:pPr>
              <w:pStyle w:val="Compact"/>
            </w:pPr>
            <w:r>
              <w:t xml:space="preserve">Yang butuh waktu menyiapkan migrasi</w:t>
            </w:r>
          </w:p>
        </w:tc>
      </w:tr>
      <w:tr>
        <w:tc>
          <w:tcPr/>
          <w:p>
            <w:pPr>
              <w:pStyle w:val="Compact"/>
            </w:pPr>
            <w:r>
              <w:rPr>
                <w:b/>
                <w:bCs/>
              </w:rPr>
              <w:t xml:space="preserve">Migrasi ke SAP S/4HANA (on-premise/private)</w:t>
            </w:r>
          </w:p>
        </w:tc>
        <w:tc>
          <w:tcPr/>
          <w:p>
            <w:pPr>
              <w:pStyle w:val="Compact"/>
            </w:pPr>
            <w:r>
              <w:t xml:space="preserve">Platform dengan komitmen minimal satu rilis dalam maintenance hingga 2040</w:t>
            </w:r>
          </w:p>
        </w:tc>
        <w:tc>
          <w:tcPr/>
          <w:p>
            <w:pPr>
              <w:pStyle w:val="Compact"/>
            </w:pPr>
            <w:r>
              <w:t xml:space="preserve">Investasi proyek migrasi</w:t>
            </w:r>
          </w:p>
        </w:tc>
        <w:tc>
          <w:tcPr/>
          <w:p>
            <w:pPr>
              <w:pStyle w:val="Compact"/>
            </w:pPr>
            <w:r>
              <w:t xml:space="preserve">Idealnya dimulai 2026</w:t>
            </w:r>
          </w:p>
        </w:tc>
        <w:tc>
          <w:tcPr/>
          <w:p>
            <w:pPr>
              <w:pStyle w:val="Compact"/>
            </w:pPr>
            <w:r>
              <w:t xml:space="preserve">Yang butuh kendali penuh atas infrastruktur</w:t>
            </w:r>
          </w:p>
        </w:tc>
      </w:tr>
      <w:tr>
        <w:tc>
          <w:tcPr/>
          <w:p>
            <w:pPr>
              <w:pStyle w:val="Compact"/>
            </w:pPr>
            <w:r>
              <w:rPr>
                <w:b/>
                <w:bCs/>
              </w:rPr>
              <w:t xml:space="preserve">RISE with SAP (S/4HANA Cloud Private Edition)</w:t>
            </w:r>
          </w:p>
        </w:tc>
        <w:tc>
          <w:tcPr/>
          <w:p>
            <w:pPr>
              <w:pStyle w:val="Compact"/>
            </w:pPr>
            <w:r>
              <w:t xml:space="preserve">Migrasi, infrastruktur hyperscaler, dan layanan terkelola dalam satu langganan</w:t>
            </w:r>
          </w:p>
        </w:tc>
        <w:tc>
          <w:tcPr/>
          <w:p>
            <w:pPr>
              <w:pStyle w:val="Compact"/>
            </w:pPr>
            <w:r>
              <w:t xml:space="preserve">Langganan; transition option mensyaratkan pindah ke SAP ERP private edition sebelum akhir 2030</w:t>
            </w:r>
          </w:p>
        </w:tc>
        <w:tc>
          <w:tcPr/>
          <w:p>
            <w:pPr>
              <w:pStyle w:val="Compact"/>
            </w:pPr>
            <w:r>
              <w:t xml:space="preserve">Transition option: 2031–2033</w:t>
            </w:r>
          </w:p>
        </w:tc>
        <w:tc>
          <w:tcPr/>
          <w:p>
            <w:pPr>
              <w:pStyle w:val="Compact"/>
            </w:pPr>
            <w:r>
              <w:t xml:space="preserve">Yang ingin keluar dari pengelolaan data center</w:t>
            </w:r>
          </w:p>
        </w:tc>
      </w:tr>
    </w:tbl>
    <w:p>
      <w:pPr>
        <w:pStyle w:val="BodyText"/>
      </w:pPr>
      <w:r>
        <w:t xml:space="preserve">Pada jalur migrasi S/4HANA, pendekatan</w:t>
      </w:r>
      <w:r>
        <w:t xml:space="preserve"> </w:t>
      </w:r>
      <w:r>
        <w:rPr>
          <w:i/>
          <w:iCs/>
        </w:rPr>
        <w:t xml:space="preserve">brownfield</w:t>
      </w:r>
      <w:r>
        <w:t xml:space="preserve"> </w:t>
      </w:r>
      <w:r>
        <w:t xml:space="preserve">(konversi sistem berjalan) atau</w:t>
      </w:r>
      <w:r>
        <w:t xml:space="preserve"> </w:t>
      </w:r>
      <w:r>
        <w:rPr>
          <w:i/>
          <w:iCs/>
        </w:rPr>
        <w:t xml:space="preserve">greenfield</w:t>
      </w:r>
      <w:r>
        <w:t xml:space="preserve"> </w:t>
      </w:r>
      <w:r>
        <w:t xml:space="preserve">(implementasi ulang) adalah keputusan turunan setelah arah besarnya ditetapkan. Jalur keempat,</w:t>
      </w:r>
      <w:r>
        <w:t xml:space="preserve"> </w:t>
      </w:r>
      <w:hyperlink r:id="rId21">
        <w:r>
          <w:rPr>
            <w:rStyle w:val="Hyperlink"/>
          </w:rPr>
          <w:t xml:space="preserve">RISE with SAP</w:t>
        </w:r>
      </w:hyperlink>
      <w:r>
        <w:t xml:space="preserve">, menjalankan S/4HANA Cloud Private Edition di infrastruktur</w:t>
      </w:r>
      <w:r>
        <w:t xml:space="preserve"> </w:t>
      </w:r>
      <w:r>
        <w:rPr>
          <w:i/>
          <w:iCs/>
        </w:rPr>
        <w:t xml:space="preserve">hyperscaler</w:t>
      </w:r>
      <w:r>
        <w:t xml:space="preserve"> </w:t>
      </w:r>
      <w:r>
        <w:t xml:space="preserve">yang dikelola SAP, sehingga tim Anda tidak lagi mengurus data center sendiri. Bagi pelanggan paling kompleks, SAP mengumumkan pada Februari 2025 opsi</w:t>
      </w:r>
      <w:r>
        <w:t xml:space="preserve"> </w:t>
      </w:r>
      <w:r>
        <w:rPr>
          <w:i/>
          <w:iCs/>
        </w:rPr>
        <w:t xml:space="preserve">SAP ERP, private edition, transition option</w:t>
      </w:r>
      <w:r>
        <w:t xml:space="preserve">: landasan tambahan 2031–2033, bersyarat pindah ke SAP ERP private edition sebelum akhir 2030, dengan biaya lebih tinggi yang besarannya tidak diungkap. Opsi ini bukan alasan menunda keputusan.</w:t>
      </w:r>
    </w:p>
    <w:p>
      <w:pPr>
        <w:pStyle w:val="BodyText"/>
      </w:pPr>
      <w:r>
        <w:t xml:space="preserve">Satu jalur lain jarang dibahas terbuka:</w:t>
      </w:r>
      <w:r>
        <w:t xml:space="preserve"> </w:t>
      </w:r>
      <w:r>
        <w:rPr>
          <w:i/>
          <w:iCs/>
        </w:rPr>
        <w:t xml:space="preserve">third-party support</w:t>
      </w:r>
      <w:r>
        <w:t xml:space="preserve"> </w:t>
      </w:r>
      <w:r>
        <w:t xml:space="preserve">dari penyedia non-SAP. Di atas kertas biayanya lebih rendah, tetapi jalur ini memutus akses ke patch, upgrade, dan jalur inovasi resmi SAP. Angka penghematannya berasal dari klaim vendor, karena itu perlu dibaca dengan hati-hati.</w:t>
      </w:r>
    </w:p>
    <w:bookmarkEnd w:id="22"/>
    <w:bookmarkStart w:id="23" w:name="Xc26000a91deaea9fbf9ae463d167990f6cae2fe"/>
    <w:p>
      <w:pPr>
        <w:pStyle w:val="Heading2"/>
      </w:pPr>
      <w:r>
        <w:t xml:space="preserve">Mengapa Keputusan Harus Diambil pada 2026, Bukan Menunggu 2027?</w:t>
      </w:r>
    </w:p>
    <w:p>
      <w:pPr>
        <w:pStyle w:val="FirstParagraph"/>
      </w:pPr>
      <w:r>
        <w:t xml:space="preserve">Karena durasi proyek dan antrean kapasitas berjalan bersamaan. Medco Energi, lewat keterbukaan informasi bursa Juni 2026, mengalokasikan USD 1,75 juta untuk migrasi S/4HANA dua anak usahanya, dimulai 2026 dengan target selesai 2027. Gartner memproyeksikan sekitar 17.000 pelanggan ECC, hampir separuh basis, belum migrasi hingga 2027.</w:t>
      </w:r>
    </w:p>
    <w:p>
      <w:pPr>
        <w:pStyle w:val="BodyText"/>
      </w:pPr>
      <w:r>
        <w:t xml:space="preserve">Proyeksi itu berarti ribuan perusahaan akan memperebutkan konsultan dan slot proyek yang sama menjelang tenggat. Di lapangan, pertanyaan pertama biasanya bukan</w:t>
      </w:r>
      <w:r>
        <w:t xml:space="preserve"> </w:t>
      </w:r>
      <w:r>
        <w:t xml:space="preserve">“apakah harus pindah”</w:t>
      </w:r>
      <w:r>
        <w:t xml:space="preserve">, melainkan</w:t>
      </w:r>
      <w:r>
        <w:t xml:space="preserve"> </w:t>
      </w:r>
      <w:r>
        <w:t xml:space="preserve">“masih sempat tidak sebelum 2027”</w:t>
      </w:r>
      <w:r>
        <w:t xml:space="preserve">. Makin dekat ke tenggat, makin kecil ruang negosiasi jadwal Anda.</w:t>
      </w:r>
    </w:p>
    <w:p>
      <w:pPr>
        <w:pStyle w:val="BodyText"/>
      </w:pPr>
      <w:r>
        <w:t xml:space="preserve">Extended maintenance tetap bisa rasional pada kondisi tertentu, misalnya entitas yang akan didivestasi sebelum 2030. Namun premi 2 poin persen tanpa inovasi baru menjadikannya alat penyangga, bukan strategi.</w:t>
      </w:r>
    </w:p>
    <w:p>
      <w:pPr>
        <w:pStyle w:val="BodyText"/>
      </w:pPr>
      <w:r>
        <w:t xml:space="preserve">Langkah pertama tidak harus besar: petakan posisi EHP setiap instance ECC Anda, hitung sisa waktu efektifnya, lalu jadwalkan</w:t>
      </w:r>
      <w:r>
        <w:t xml:space="preserve"> </w:t>
      </w:r>
      <w:r>
        <w:rPr>
          <w:i/>
          <w:iCs/>
        </w:rPr>
        <w:t xml:space="preserve">assessment</w:t>
      </w:r>
      <w:r>
        <w:t xml:space="preserve"> </w:t>
      </w:r>
      <w:r>
        <w:t xml:space="preserve">migrasi pada semester ini.</w:t>
      </w:r>
    </w:p>
    <w:bookmarkEnd w:id="23"/>
    <w:bookmarkStart w:id="27" w:name="faq-pertanyaan-yang-sering-diajukan"/>
    <w:p>
      <w:pPr>
        <w:pStyle w:val="Heading2"/>
      </w:pPr>
      <w:r>
        <w:t xml:space="preserve">FAQ (Pertanyaan yang Sering Diajukan)</w:t>
      </w:r>
    </w:p>
    <w:bookmarkStart w:id="24" w:name="Xc952c20b071949fc20604bd11a85d4adad1cfeb"/>
    <w:p>
      <w:pPr>
        <w:pStyle w:val="Heading3"/>
      </w:pPr>
      <w:r>
        <w:t xml:space="preserve">Kapan dukungan SAP ECC benar-benar berakhir?</w:t>
      </w:r>
    </w:p>
    <w:p>
      <w:pPr>
        <w:pStyle w:val="FirstParagraph"/>
      </w:pPr>
      <w:r>
        <w:t xml:space="preserve">Mainstream maintenance SAP ECC 6.0 (EHP 6–8) berakhir 31 Desember 2027, sementara EHP 0–5 sudah berakhir lebih dulu pada akhir 2025. SAP menawarkan extended maintenance berbayar hingga akhir 2030, dan bagi pelanggan kompleks berkontrak RISE tersedia transition option hingga 2033.</w:t>
      </w:r>
    </w:p>
    <w:bookmarkEnd w:id="24"/>
    <w:bookmarkStart w:id="25" w:name="Xce764bc18ef09ed35956d5034bf6a670c828755"/>
    <w:p>
      <w:pPr>
        <w:pStyle w:val="Heading3"/>
      </w:pPr>
      <w:r>
        <w:t xml:space="preserve">Apakah SAP ECC masih bisa digunakan setelah 2027?</w:t>
      </w:r>
    </w:p>
    <w:p>
      <w:pPr>
        <w:pStyle w:val="FirstParagraph"/>
      </w:pPr>
      <w:r>
        <w:t xml:space="preserve">Bisa. Sistem tetap berjalan dalam status customer-specific maintenance, tetapi tanpa patch keamanan dan legal update baru, sehingga risiko keamanan serta kepatuhan ditanggung perusahaan sendiri. Menurut Gartner, baru 39% pelanggan ECC yang sudah migrasi ke S/4HANA per akhir 2024.</w:t>
      </w:r>
    </w:p>
    <w:bookmarkEnd w:id="25"/>
    <w:bookmarkStart w:id="26" w:name="Xe5a85a09d3b77f49a6a644ae5a7c0204d184d8e"/>
    <w:p>
      <w:pPr>
        <w:pStyle w:val="Heading3"/>
      </w:pPr>
      <w:r>
        <w:t xml:space="preserve">Berapa biaya extended maintenance SAP ECC?</w:t>
      </w:r>
    </w:p>
    <w:p>
      <w:pPr>
        <w:pStyle w:val="FirstParagraph"/>
      </w:pPr>
      <w:r>
        <w:t xml:space="preserve">SAP mengenakan premi 2 poin persen di atas basis maintenance untuk extended maintenance, berlaku awal 2028 hingga akhir 2030 dan hanya untuk EHP 6–8. Opsi ini membeli waktu maksimal tiga tahun, bukan menghapus keharusan migrasi.</w:t>
      </w:r>
    </w:p>
    <w:bookmarkEnd w:id="26"/>
    <w:bookmarkEnd w:id="27"/>
    <w:bookmarkStart w:id="28" w:name="kesimpulan"/>
    <w:p>
      <w:pPr>
        <w:pStyle w:val="Heading2"/>
      </w:pPr>
      <w:r>
        <w:t xml:space="preserve">Kesimpulan</w:t>
      </w:r>
    </w:p>
    <w:p>
      <w:pPr>
        <w:pStyle w:val="FirstParagraph"/>
      </w:pPr>
      <w:r>
        <w:t xml:space="preserve">Tenggat 2027 bukan hari sistem Anda padam, melainkan titik ketika biaya dan risiko bertahan mulai menanjak setiap tahun. Dari empat opsi yang tersedia, yang paling mahal biasanya adalah tidak memutuskan sama sekali. Sebagai SAP Platinum Partner yang diakui sebagai Best RISE Partner dan Best Cloud Partner SAP SEA, Soltius mendampingi perusahaan memetakan jalur keluar dari ECC, dari assessment awal hingga</w:t>
      </w:r>
      <w:r>
        <w:t xml:space="preserve"> </w:t>
      </w:r>
      <w:r>
        <w:rPr>
          <w:i/>
          <w:iCs/>
        </w:rPr>
        <w:t xml:space="preserve">go-live</w:t>
      </w:r>
      <w:r>
        <w:t xml:space="preserve">. Kuartal ini waktu yang tepat memulainya.</w:t>
      </w:r>
    </w:p>
    <w:p>
      <w:pPr>
        <w:pStyle w:val="BodyText"/>
      </w:pPr>
      <w:r>
        <w:t xml:space="preserve">Untuk mendiskusikan skenario RISE with SAP yang paling sesuai dengan lanskap ECC perusahaan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support.sap.com/en/release-upgrade-maintenance/maintenance-information/maintenance-strategy/s4hana-business-suite7.html" TargetMode="External" /><Relationship Type="http://schemas.openxmlformats.org/officeDocument/2006/relationships/hyperlink" Id="rId19" Target="https://www.cio.com/article/4000543/nearly-half-of-sap-ecc-customers-may-stick-with-legacy-erp-beyond-2027.html" TargetMode="External" /><Relationship Type="http://schemas.openxmlformats.org/officeDocument/2006/relationships/hyperlink" Id="rId21" Target="https://www.soltius.co.id/id/blog/RISE-With-SAP-Untuk-ERP-Enterprise"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8" Target="https://support.sap.com/en/release-upgrade-maintenance/maintenance-information/maintenance-strategy/s4hana-business-suite7.html" TargetMode="External" /><Relationship Type="http://schemas.openxmlformats.org/officeDocument/2006/relationships/hyperlink" Id="rId19" Target="https://www.cio.com/article/4000543/nearly-half-of-sap-ecc-customers-may-stick-with-legacy-erp-beyond-2027.html" TargetMode="External" /><Relationship Type="http://schemas.openxmlformats.org/officeDocument/2006/relationships/hyperlink" Id="rId21" Target="https://www.soltius.co.id/id/blog/RISE-With-SAP-Untuk-ERP-Enterprise"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2026-07-07T01:29:11Z</dcterms:created>
  <dcterms:modified xsi:type="dcterms:W3CDTF">2026-07-07T01:29:11Z</dcterms:modified>
</cp:coreProperties>
</file>

<file path=docProps/custom.xml><?xml version="1.0" encoding="utf-8"?>
<Properties xmlns="http://schemas.openxmlformats.org/officeDocument/2006/custom-properties" xmlns:vt="http://schemas.openxmlformats.org/officeDocument/2006/docPropsVTypes"/>
</file>